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Monday, 3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average residential asking price reached ₹12,300/sq ft as of June 2026, with East Bengaluru commanding a premium at ₹13,750/sq ft.</w:t>
      </w:r>
    </w:p>
    <w:p>
      <w:pPr>
        <w:pStyle w:val="ListParagraph"/>
        <w:numPr>
          <w:ilvl w:val="0"/>
          <w:numId w:val="2"/>
        </w:numPr>
        <w:spacing w:after="80"/>
      </w:pPr>
      <w:r>
        <w:rPr>
          <w:b w:val="false"/>
          <w:bCs w:val="false"/>
        </w:rPr>
        <w:t xml:space="preserve">JLL projects Bengaluru residential prices to rise a further 10–12% in 2026, driven by sustained demand for upscale homes, robust office-sector expansion and rising land and construction costs.</w:t>
      </w:r>
    </w:p>
    <w:p>
      <w:pPr>
        <w:pStyle w:val="ListParagraph"/>
        <w:numPr>
          <w:ilvl w:val="0"/>
          <w:numId w:val="2"/>
        </w:numPr>
        <w:spacing w:after="80"/>
      </w:pPr>
      <w:r>
        <w:rPr>
          <w:b w:val="false"/>
          <w:bCs w:val="false"/>
        </w:rPr>
        <w:t xml:space="preserve">Whitefield and North Bengaluru continue to emerge as the city's key growth corridors, with developers increasingly focused on upscale housing and integrated mixed-use developments, aided by improving metro connectivity.</w:t>
      </w:r>
    </w:p>
    <w:p>
      <w:pPr>
        <w:spacing w:after="150"/>
      </w:pPr>
      <w:r>
        <w:rPr>
          <w:i/>
          <w:iCs/>
          <w:color w:val="595959"/>
          <w:sz w:val="18"/>
          <w:szCs w:val="18"/>
        </w:rPr>
        <w:t xml:space="preserve">Sources: Square Yards; Real Estate Asia/JLL; Proppy.ai.</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office sector expansion continues to be cited as a key driver of residential price growth, reinforcing the tight link between the city's commercial and residential markets.</w:t>
      </w:r>
    </w:p>
    <w:p>
      <w:pPr>
        <w:pStyle w:val="ListParagraph"/>
        <w:numPr>
          <w:ilvl w:val="0"/>
          <w:numId w:val="2"/>
        </w:numPr>
        <w:spacing w:after="80"/>
      </w:pPr>
      <w:r>
        <w:rPr>
          <w:b w:val="false"/>
          <w:bCs w:val="false"/>
        </w:rPr>
        <w:t xml:space="preserve">Rising land and construction costs are increasingly factored into both commercial and residential project pricing across the city's growth corridors.</w:t>
      </w:r>
    </w:p>
    <w:p>
      <w:pPr>
        <w:pStyle w:val="ListParagraph"/>
        <w:numPr>
          <w:ilvl w:val="0"/>
          <w:numId w:val="2"/>
        </w:numPr>
        <w:spacing w:after="80"/>
      </w:pPr>
      <w:r>
        <w:rPr>
          <w:b w:val="false"/>
          <w:bCs w:val="false"/>
        </w:rPr>
        <w:t xml:space="preserve">Improved metro connectivity continues to be a structural tailwind for both commercial and residential real estate values in Whitefield and North Bengaluru.</w:t>
      </w:r>
    </w:p>
    <w:p>
      <w:pPr>
        <w:spacing w:after="150"/>
      </w:pPr>
      <w:r>
        <w:rPr>
          <w:i/>
          <w:iCs/>
          <w:color w:val="595959"/>
          <w:sz w:val="18"/>
          <w:szCs w:val="18"/>
        </w:rPr>
        <w:t xml:space="preserve">Sources: Real Estate Asia/JLL; Proppy.ai.</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has revealed that Bengaluru developers suffered a 60% drop in property registrations and a ₹8,000 crore revenue shortfall since October due to processing delays in the mandatory e-Khata system.</w:t>
      </w:r>
    </w:p>
    <w:p>
      <w:pPr>
        <w:pStyle w:val="ListParagraph"/>
        <w:numPr>
          <w:ilvl w:val="0"/>
          <w:numId w:val="2"/>
        </w:numPr>
        <w:spacing w:after="80"/>
      </w:pPr>
      <w:r>
        <w:rPr>
          <w:b w:val="false"/>
          <w:bCs w:val="false"/>
        </w:rPr>
        <w:t xml:space="preserve">CREDAI has called on the BBMP to prioritise issuing e-Khata for new apartments that already hold occupancy certificates, and has urged a phased rollout of the system to match its actual processing capacity.</w:t>
      </w:r>
    </w:p>
    <w:p>
      <w:pPr>
        <w:pStyle w:val="ListParagraph"/>
        <w:numPr>
          <w:ilvl w:val="0"/>
          <w:numId w:val="2"/>
        </w:numPr>
        <w:spacing w:after="80"/>
      </w:pPr>
      <w:r>
        <w:rPr>
          <w:b w:val="false"/>
          <w:bCs w:val="false"/>
        </w:rPr>
        <w:t xml:space="preserve">K-RERA remains without a permanent chairman following HC Kishore Chandra's superannuation, with the state government unlikely to appoint a successor until the election-related model code of conduct is lifted.</w:t>
      </w:r>
    </w:p>
    <w:p>
      <w:pPr>
        <w:spacing w:after="150"/>
      </w:pPr>
      <w:r>
        <w:rPr>
          <w:i/>
          <w:iCs/>
          <w:color w:val="595959"/>
          <w:sz w:val="18"/>
          <w:szCs w:val="18"/>
        </w:rPr>
        <w:t xml:space="preserve">Sources: Deccan Herald.</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average weighted residential price climbed 9% YoY to ₹8,211/sq ft, with average asking rates around ₹9,300/sq ft and western-zone apartments (driven by GCC office expansion and new metro lines) ranging ₹9,500–14,000/sq ft.</w:t>
      </w:r>
    </w:p>
    <w:p>
      <w:pPr>
        <w:pStyle w:val="ListParagraph"/>
        <w:numPr>
          <w:ilvl w:val="0"/>
          <w:numId w:val="2"/>
        </w:numPr>
        <w:spacing w:after="80"/>
      </w:pPr>
      <w:r>
        <w:rPr>
          <w:b w:val="false"/>
          <w:bCs w:val="false"/>
        </w:rPr>
        <w:t xml:space="preserve">Hyderabad recorded 23,725 property transactions worth ₹15,924 crore between August 2025 and July 2026, with the city's rental market showing a healthy average yield of 4.26%.</w:t>
      </w:r>
    </w:p>
    <w:p>
      <w:pPr>
        <w:pStyle w:val="ListParagraph"/>
        <w:numPr>
          <w:ilvl w:val="0"/>
          <w:numId w:val="2"/>
        </w:numPr>
        <w:spacing w:after="80"/>
      </w:pPr>
      <w:r>
        <w:rPr>
          <w:b w:val="false"/>
          <w:bCs w:val="false"/>
        </w:rPr>
        <w:t xml:space="preserve">Chennai's city-level average prices have crossed ₹7,000/sq ft, with sales rising 12% annually — the strongest growth among major South Indian markets — while property prices range ₹4,000 to over ₹40,000/sq ft depending on locality.</w:t>
      </w:r>
    </w:p>
    <w:p>
      <w:pPr>
        <w:spacing w:after="150"/>
      </w:pPr>
      <w:r>
        <w:rPr>
          <w:i/>
          <w:iCs/>
          <w:color w:val="595959"/>
          <w:sz w:val="18"/>
          <w:szCs w:val="18"/>
        </w:rPr>
        <w:t xml:space="preserve">Sources: Square Yards; Sakshi Post; Livehomes.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Hyderabad's western zones continue to draw the highest apartment pricing in the city, driven by the expansion of global corporate offices and new metro line connectivity.</w:t>
      </w:r>
    </w:p>
    <w:p>
      <w:pPr>
        <w:pStyle w:val="ListParagraph"/>
        <w:numPr>
          <w:ilvl w:val="0"/>
          <w:numId w:val="2"/>
        </w:numPr>
        <w:spacing w:after="80"/>
      </w:pPr>
      <w:r>
        <w:rPr>
          <w:b w:val="false"/>
          <w:bCs w:val="false"/>
        </w:rPr>
        <w:t xml:space="preserve">Chennai's Metro Phase 2 (118.9 km expansion) is expected to be partially operational from 2026, with properties within 1 km of planned stations already seeing 20–30% price growth.</w:t>
      </w:r>
    </w:p>
    <w:p>
      <w:pPr>
        <w:pStyle w:val="ListParagraph"/>
        <w:numPr>
          <w:ilvl w:val="0"/>
          <w:numId w:val="2"/>
        </w:numPr>
        <w:spacing w:after="80"/>
      </w:pPr>
      <w:r>
        <w:rPr>
          <w:b w:val="false"/>
          <w:bCs w:val="false"/>
        </w:rPr>
        <w:t xml:space="preserve">Both Hyderabad and Bengaluru continue to command higher rental yields than Chennai, even as Chennai's lower entry prices and stable appreciation continue to draw value-focused investors.</w:t>
      </w:r>
    </w:p>
    <w:p>
      <w:pPr>
        <w:spacing w:after="150"/>
      </w:pPr>
      <w:r>
        <w:rPr>
          <w:i/>
          <w:iCs/>
          <w:color w:val="595959"/>
          <w:sz w:val="18"/>
          <w:szCs w:val="18"/>
        </w:rPr>
        <w:t xml:space="preserve">Sources: Sakshi Post; Livehomes; Tradebrains.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has signalled it will seek a longer RERA timeline extension from state governments — including in Telangana, Tamil Nadu and Karnataka — arguing the Centre's four-month relief doesn't adequately compensate for cumulative delays in specific regions.</w:t>
      </w:r>
    </w:p>
    <w:p>
      <w:pPr>
        <w:pStyle w:val="ListParagraph"/>
        <w:numPr>
          <w:ilvl w:val="0"/>
          <w:numId w:val="2"/>
        </w:numPr>
        <w:spacing w:after="80"/>
      </w:pPr>
      <w:r>
        <w:rPr>
          <w:b w:val="false"/>
          <w:bCs w:val="false"/>
        </w:rPr>
        <w:t xml:space="preserve">Developers across South India have also requested corresponding extensions for plan-sanction validity and other regulatory approvals from state RERA authorities and municipal corporations, alongside the RERA timeline relief.</w:t>
      </w:r>
    </w:p>
    <w:p>
      <w:pPr>
        <w:pStyle w:val="ListParagraph"/>
        <w:numPr>
          <w:ilvl w:val="0"/>
          <w:numId w:val="2"/>
        </w:numPr>
        <w:spacing w:after="80"/>
      </w:pPr>
      <w:r>
        <w:rPr>
          <w:b w:val="false"/>
          <w:bCs w:val="false"/>
        </w:rPr>
        <w:t xml:space="preserve">CREDAI's e-Khata advocacy in Karnataka — highlighting a 60% registration drop and ₹8,000 crore revenue shortfall — is being watched by other South Indian states considering similar digitised land-record systems.</w:t>
      </w:r>
    </w:p>
    <w:p>
      <w:pPr>
        <w:spacing w:after="150"/>
      </w:pPr>
      <w:r>
        <w:rPr>
          <w:i/>
          <w:iCs/>
          <w:color w:val="595959"/>
          <w:sz w:val="18"/>
          <w:szCs w:val="18"/>
        </w:rPr>
        <w:t xml:space="preserve">Sources: Outlook Money; Deccan Herald.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Ministry of Housing and Urban Affairs (MoHUA) issued an advisory on 1 August directing state RERAs to extend registration and completion timelines by four months for projects with scheduled completion dates on or after 28 February 2026, invoking force majeure over Iran-conflict-linked supply-chain disruptions.</w:t>
      </w:r>
    </w:p>
    <w:p>
      <w:pPr>
        <w:pStyle w:val="ListParagraph"/>
        <w:numPr>
          <w:ilvl w:val="0"/>
          <w:numId w:val="2"/>
        </w:numPr>
        <w:spacing w:after="80"/>
      </w:pPr>
      <w:r>
        <w:rPr>
          <w:b w:val="false"/>
          <w:bCs w:val="false"/>
        </w:rPr>
        <w:t xml:space="preserve">CREDAI has indicated it will seek a longer extension from state governments, arguing the Centre's four-month relief doesn't adequately compensate for cumulative regional delays.</w:t>
      </w:r>
    </w:p>
    <w:p>
      <w:pPr>
        <w:pStyle w:val="ListParagraph"/>
        <w:numPr>
          <w:ilvl w:val="0"/>
          <w:numId w:val="2"/>
        </w:numPr>
        <w:spacing w:after="80"/>
      </w:pPr>
      <w:r>
        <w:rPr>
          <w:b w:val="false"/>
          <w:bCs w:val="false"/>
        </w:rPr>
        <w:t xml:space="preserve">Developers nationally continue to face significant supply-chain and labour-availability disruptions, with ongoing energy-supply volatility affecting production across key manufacturing clusters relevant to construction inputs.</w:t>
      </w:r>
    </w:p>
    <w:p>
      <w:pPr>
        <w:spacing w:after="150"/>
      </w:pPr>
      <w:r>
        <w:rPr>
          <w:i/>
          <w:iCs/>
          <w:color w:val="595959"/>
          <w:sz w:val="18"/>
          <w:szCs w:val="18"/>
        </w:rPr>
        <w:t xml:space="preserve">Sources: Outlook Money; Business Standard.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Kolkata Municipal Corporation has retained its stop-work order on high-rise developments, a reminder that municipal-level regulatory friction continues to affect commercial and residential construction timelines in some Indian cities even as other states seek RERA relief.</w:t>
      </w:r>
    </w:p>
    <w:p>
      <w:pPr>
        <w:pStyle w:val="ListParagraph"/>
        <w:numPr>
          <w:ilvl w:val="0"/>
          <w:numId w:val="2"/>
        </w:numPr>
        <w:spacing w:after="80"/>
      </w:pPr>
      <w:r>
        <w:rPr>
          <w:b w:val="false"/>
          <w:bCs w:val="false"/>
        </w:rPr>
        <w:t xml:space="preserve">Construction-material supply-chain disruptions and labour-availability challenges continue to be cited nationally as key headwinds for both commercial and residential development schedules.</w:t>
      </w:r>
    </w:p>
    <w:p>
      <w:pPr>
        <w:pStyle w:val="ListParagraph"/>
        <w:numPr>
          <w:ilvl w:val="0"/>
          <w:numId w:val="2"/>
        </w:numPr>
        <w:spacing w:after="80"/>
      </w:pPr>
      <w:r>
        <w:rPr>
          <w:b w:val="false"/>
          <w:bCs w:val="false"/>
        </w:rPr>
        <w:t xml:space="preserve">Regional price growth trends — Bengaluru's 10–12% projected 2026 rise, Hyderabad's 9% YoY increase, Chennai's 12% sales growth — illustrate continued, if uneven, momentum across India's major commercial and residential real estate markets.</w:t>
      </w:r>
    </w:p>
    <w:p>
      <w:pPr>
        <w:spacing w:after="150"/>
      </w:pPr>
      <w:r>
        <w:rPr>
          <w:i/>
          <w:iCs/>
          <w:color w:val="595959"/>
          <w:sz w:val="18"/>
          <w:szCs w:val="18"/>
        </w:rPr>
        <w:t xml:space="preserve">Sources: Constrofacilitator; Outlook Money; Square Yards/Sakshi Post/Livehomes.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MoHUA's 1 August advisory — extending RERA timelines by four months for projects with completion dates on or after 28 February 2026 — marks the government's first formal invocation of the force majeure clause tied to the Iran conflict's supply-chain impact.</w:t>
      </w:r>
    </w:p>
    <w:p>
      <w:pPr>
        <w:pStyle w:val="ListParagraph"/>
        <w:numPr>
          <w:ilvl w:val="0"/>
          <w:numId w:val="2"/>
        </w:numPr>
        <w:spacing w:after="80"/>
      </w:pPr>
      <w:r>
        <w:rPr>
          <w:b w:val="false"/>
          <w:bCs w:val="false"/>
        </w:rPr>
        <w:t xml:space="preserve">CREDAI's push for a longer extension, plus corresponding relief on plan-sanction validity and other municipal approvals, signals the sector's view that four months is insufficient to offset regional delays.</w:t>
      </w:r>
    </w:p>
    <w:p>
      <w:pPr>
        <w:pStyle w:val="ListParagraph"/>
        <w:numPr>
          <w:ilvl w:val="0"/>
          <w:numId w:val="2"/>
        </w:numPr>
        <w:spacing w:after="80"/>
      </w:pPr>
      <w:r>
        <w:rPr>
          <w:b w:val="false"/>
          <w:bCs w:val="false"/>
        </w:rPr>
        <w:t xml:space="preserve">RERA continues to be tested as a framework balancing developer flexibility with homebuyer protection amid an unusual combination of domestic regulatory friction (e.g., Kolkata's stop-work order) and external geopolitical shocks.</w:t>
      </w:r>
    </w:p>
    <w:p>
      <w:pPr>
        <w:spacing w:after="150"/>
      </w:pPr>
      <w:r>
        <w:rPr>
          <w:i/>
          <w:iCs/>
          <w:color w:val="595959"/>
          <w:sz w:val="18"/>
          <w:szCs w:val="18"/>
        </w:rPr>
        <w:t xml:space="preserve">Sources: Outlook Money; Constrofacilitator; Business Standard.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2026-08-03T03:40:21.151Z</dcterms:created>
  <dcterms:modified xsi:type="dcterms:W3CDTF">2026-08-03T03:40:21.170Z</dcterms:modified>
</cp:coreProperties>
</file>

<file path=docProps/custom.xml><?xml version="1.0" encoding="utf-8"?>
<Properties xmlns="http://schemas.openxmlformats.org/officeDocument/2006/custom-properties" xmlns:vt="http://schemas.openxmlformats.org/officeDocument/2006/docPropsVTypes"/>
</file>