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Saturday, 5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Bannerghatta Road has emerged as one of Bengaluru's fastest-appreciating residential corridors, with apartment prices up 41–47% YoY to an average of ₹11,850 per sq ft, ranging ₹6,500–14,150 per sq ft depending on the micro-market.</w:t>
      </w:r>
    </w:p>
    <w:p>
      <w:pPr>
        <w:pStyle w:val="ListParagraph"/>
        <w:numPr>
          <w:ilvl w:val="0"/>
          <w:numId w:val="2"/>
        </w:numPr>
        <w:spacing w:after="80"/>
      </w:pPr>
      <w:r>
        <w:rPr>
          <w:b w:val="false"/>
          <w:bCs w:val="false"/>
        </w:rPr>
        <w:t xml:space="preserve">New premium launches are driving the surge — Godrej's Bannerghatta Road project prices 2 BHK units from ₹1.59 crore (~₹13,200+ per sq ft) — while nearby JP Nagar holds steadier at an average of ₹10,450 per sq ft.</w:t>
      </w:r>
    </w:p>
    <w:p>
      <w:pPr>
        <w:pStyle w:val="ListParagraph"/>
        <w:numPr>
          <w:ilvl w:val="0"/>
          <w:numId w:val="2"/>
        </w:numPr>
        <w:spacing w:after="80"/>
      </w:pPr>
      <w:r>
        <w:rPr>
          <w:b w:val="false"/>
          <w:bCs w:val="false"/>
        </w:rPr>
        <w:t xml:space="preserve">Land rates along Bannerghatta Road now range ₹3,100–12,600 per sq ft and builder-floor prices ₹5,600–15,700 per sq ft, reflecting broad-based appreciation across plotted, builder-floor and apartment formats in the corridor.</w:t>
      </w:r>
    </w:p>
    <w:p>
      <w:pPr>
        <w:spacing w:after="150"/>
      </w:pPr>
      <w:r>
        <w:rPr>
          <w:i/>
          <w:iCs/>
          <w:color w:val="595959"/>
          <w:sz w:val="18"/>
          <w:szCs w:val="18"/>
        </w:rPr>
        <w:t xml:space="preserve">Sources: 99acres (Bannerghatta Road/JP Nagar pricing and YoY change); Godrej Properties/GodrejScastillo (Godrej Bannerghatta Road launch pricing).</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Prestige Group is advancing new township projects along Bannerghatta Road, adding to the corridor's mixed-use pipeline as developers scale up premium residential-cum-retail formats to capture rising demand.</w:t>
      </w:r>
    </w:p>
    <w:p>
      <w:pPr>
        <w:pStyle w:val="ListParagraph"/>
        <w:numPr>
          <w:ilvl w:val="0"/>
          <w:numId w:val="2"/>
        </w:numPr>
        <w:spacing w:after="80"/>
      </w:pPr>
      <w:r>
        <w:rPr>
          <w:b w:val="false"/>
          <w:bCs w:val="false"/>
        </w:rPr>
        <w:t xml:space="preserve">Bengaluru holds over 50 million sq ft of SM-REIT-ready commercial office stock as of mid-2026, per CBRE, positioning the city among India's top markets for the country's fast-growing small and medium REIT segment.</w:t>
      </w:r>
    </w:p>
    <w:p>
      <w:pPr>
        <w:pStyle w:val="ListParagraph"/>
        <w:numPr>
          <w:ilvl w:val="0"/>
          <w:numId w:val="2"/>
        </w:numPr>
        <w:spacing w:after="80"/>
      </w:pPr>
      <w:r>
        <w:rPr>
          <w:b w:val="false"/>
          <w:bCs w:val="false"/>
        </w:rPr>
        <w:t xml:space="preserve">Continued institutional interest in Bengaluru's Grade-A office stock is reinforcing investor confidence in established IT corridors even as newer residential belts like Bannerghatta Road see the sharpest price gains citywide.</w:t>
      </w:r>
    </w:p>
    <w:p>
      <w:pPr>
        <w:spacing w:after="150"/>
      </w:pPr>
      <w:r>
        <w:rPr>
          <w:i/>
          <w:iCs/>
          <w:color w:val="595959"/>
          <w:sz w:val="18"/>
          <w:szCs w:val="18"/>
        </w:rPr>
        <w:t xml:space="preserve">Sources: Prestige Severgreen (Bannerghatta Road township projects); CBRE via RERA.news/PropertyShare (Bengaluru SM-REIT-ready stock).</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Bannerghatta Road's sharp 41–47% YoY price appreciation is likely to draw CREDAI Karnataka's attention as a case study in corridor-level demand concentration, alongside continued monitoring of new-launch registration compliance in the belt.</w:t>
      </w:r>
    </w:p>
    <w:p>
      <w:pPr>
        <w:pStyle w:val="ListParagraph"/>
        <w:numPr>
          <w:ilvl w:val="0"/>
          <w:numId w:val="2"/>
        </w:numPr>
        <w:spacing w:after="80"/>
      </w:pPr>
      <w:r>
        <w:rPr>
          <w:b w:val="false"/>
          <w:bCs w:val="false"/>
        </w:rPr>
        <w:t xml:space="preserve">K-RERA's oversight of new premium launches along Bannerghatta Road — including Godrej's and Prestige's ongoing projects — remains central to ensuring registration and disclosure norms keep pace with the corridor's rapid price growth.</w:t>
      </w:r>
    </w:p>
    <w:p>
      <w:pPr>
        <w:pStyle w:val="ListParagraph"/>
        <w:numPr>
          <w:ilvl w:val="0"/>
          <w:numId w:val="2"/>
        </w:numPr>
        <w:spacing w:after="80"/>
      </w:pPr>
      <w:r>
        <w:rPr>
          <w:b w:val="false"/>
          <w:bCs w:val="false"/>
        </w:rPr>
        <w:t xml:space="preserve">Bengaluru's growing SM-REIT-ready office stock adds a new institutional-compliance dimension for Karnataka's regulators, as SEBI's SM-REIT framework increasingly intersects with state-level real estate oversight.</w:t>
      </w:r>
    </w:p>
    <w:p>
      <w:pPr>
        <w:spacing w:after="150"/>
      </w:pPr>
      <w:r>
        <w:rPr>
          <w:i/>
          <w:iCs/>
          <w:color w:val="595959"/>
          <w:sz w:val="18"/>
          <w:szCs w:val="18"/>
        </w:rPr>
        <w:t xml:space="preserve">Sources: 99acres; Prestige Severgreen; CBRE via RERA.news/PropertyShare.</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Andhra Pradesh's Amaravati capital-city region is seeing a real estate revival under the Chandrababu Naidu government, which has finalised tenders worth ₹20,000 crore for capital-city development and plans to release a further ₹20,000–30,000 crore in tenders.</w:t>
      </w:r>
    </w:p>
    <w:p>
      <w:pPr>
        <w:pStyle w:val="ListParagraph"/>
        <w:numPr>
          <w:ilvl w:val="0"/>
          <w:numId w:val="2"/>
        </w:numPr>
        <w:spacing w:after="80"/>
      </w:pPr>
      <w:r>
        <w:rPr>
          <w:b w:val="false"/>
          <w:bCs w:val="false"/>
        </w:rPr>
        <w:t xml:space="preserve">Buyers increasingly view Amaravati as an emerging hub comparable to Hyderabad's early development phase, fuelling speculative interest and pushing land rates upward across CRDA-approved layouts in the region.</w:t>
      </w:r>
    </w:p>
    <w:p>
      <w:pPr>
        <w:pStyle w:val="ListParagraph"/>
        <w:numPr>
          <w:ilvl w:val="0"/>
          <w:numId w:val="2"/>
        </w:numPr>
        <w:spacing w:after="80"/>
      </w:pPr>
      <w:r>
        <w:rPr>
          <w:b w:val="false"/>
          <w:bCs w:val="false"/>
        </w:rPr>
        <w:t xml:space="preserve">To encourage investment, Amaravati has been exempted from recent land-registration charge hikes, while Vijayawada and Guntur's hikes have been capped at 20% — a calibrated fiscal approach aimed at sustaining momentum without overheating adjoining markets.</w:t>
      </w:r>
    </w:p>
    <w:p>
      <w:pPr>
        <w:spacing w:after="150"/>
      </w:pPr>
      <w:r>
        <w:rPr>
          <w:i/>
          <w:iCs/>
          <w:color w:val="595959"/>
          <w:sz w:val="18"/>
          <w:szCs w:val="18"/>
        </w:rPr>
        <w:t xml:space="preserve">Sources: AurumProptech (Amaravati real estate revival, tender values); Toplinerealty/Openplot (Amaravati land rates, registration charge policy).</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Visakhapatnam and Amaravati are gaining commercial momentum on the back of Smart City Mission infrastructure, metro rail projects in Visakhapatnam and Vijayawada, and continued port and highway development across the state.</w:t>
      </w:r>
    </w:p>
    <w:p>
      <w:pPr>
        <w:pStyle w:val="ListParagraph"/>
        <w:numPr>
          <w:ilvl w:val="0"/>
          <w:numId w:val="2"/>
        </w:numPr>
        <w:spacing w:after="80"/>
      </w:pPr>
      <w:r>
        <w:rPr>
          <w:b w:val="false"/>
          <w:bCs w:val="false"/>
        </w:rPr>
        <w:t xml:space="preserve">CRDA-approved layouts in the Amaravati region are giving institutional and retail investors greater legal confidence to commit capital, supporting a broader pipeline of plotted-development and mixed-use commercial activity.</w:t>
      </w:r>
    </w:p>
    <w:p>
      <w:pPr>
        <w:pStyle w:val="ListParagraph"/>
        <w:numPr>
          <w:ilvl w:val="0"/>
          <w:numId w:val="2"/>
        </w:numPr>
        <w:spacing w:after="80"/>
      </w:pPr>
      <w:r>
        <w:rPr>
          <w:b w:val="false"/>
          <w:bCs w:val="false"/>
        </w:rPr>
        <w:t xml:space="preserve">Chennai's continued GCC and IT-led office demand remains a steady anchor for South India's commercial real estate even as Andhra Pradesh's capital-region revival draws fresh investor attention to the state.</w:t>
      </w:r>
    </w:p>
    <w:p>
      <w:pPr>
        <w:spacing w:after="150"/>
      </w:pPr>
      <w:r>
        <w:rPr>
          <w:i/>
          <w:iCs/>
          <w:color w:val="595959"/>
          <w:sz w:val="18"/>
          <w:szCs w:val="18"/>
        </w:rPr>
        <w:t xml:space="preserve">Sources: Openplot (AP Smart City/metro/port infrastructure); Toplinerealty (CRDA-approved layouts).</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Andhra Pradesh's differentiated land-registration policy — full exemption for Amaravati versus a 20%-capped hike for Vijayawada and Guntur — gives CREDAI AP chapters a fresh fiscal lever to track as capital-region development accelerates.</w:t>
      </w:r>
    </w:p>
    <w:p>
      <w:pPr>
        <w:pStyle w:val="ListParagraph"/>
        <w:numPr>
          <w:ilvl w:val="0"/>
          <w:numId w:val="2"/>
        </w:numPr>
        <w:spacing w:after="80"/>
      </w:pPr>
      <w:r>
        <w:rPr>
          <w:b w:val="false"/>
          <w:bCs w:val="false"/>
        </w:rPr>
        <w:t xml:space="preserve">The state's continued reliance on CRDA-approved layouts as the benchmark for legally secure transactions reinforces regulatory discipline even as speculative buyer interest in Amaravati intensifies.</w:t>
      </w:r>
    </w:p>
    <w:p>
      <w:pPr>
        <w:pStyle w:val="ListParagraph"/>
        <w:numPr>
          <w:ilvl w:val="0"/>
          <w:numId w:val="2"/>
        </w:numPr>
        <w:spacing w:after="80"/>
      </w:pPr>
      <w:r>
        <w:rPr>
          <w:b w:val="false"/>
          <w:bCs w:val="false"/>
        </w:rPr>
        <w:t xml:space="preserve">South Indian CREDAI chapters are likely to watch Andhra Pradesh's capital-region tender pipeline (₹20,000 crore finalised, ₹20,000–30,000 crore more planned) as a multi-year driver of new project registrations across the Vijayawada-Guntur-Amaravati belt.</w:t>
      </w:r>
    </w:p>
    <w:p>
      <w:pPr>
        <w:spacing w:after="150"/>
      </w:pPr>
      <w:r>
        <w:rPr>
          <w:i/>
          <w:iCs/>
          <w:color w:val="595959"/>
          <w:sz w:val="18"/>
          <w:szCs w:val="18"/>
        </w:rPr>
        <w:t xml:space="preserve">Sources: AurumProptech; Toplinerealty/Openplot.</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small and medium REIT (SM-REIT) market is projected to surpass $60 billion by 2026, per a CBRE report released today, with over 300 million sq ft of completed commercial office space already identified as SM-REIT-ready stock nationally.</w:t>
      </w:r>
    </w:p>
    <w:p>
      <w:pPr>
        <w:pStyle w:val="ListParagraph"/>
        <w:numPr>
          <w:ilvl w:val="0"/>
          <w:numId w:val="2"/>
        </w:numPr>
        <w:spacing w:after="80"/>
      </w:pPr>
      <w:r>
        <w:rPr>
          <w:b w:val="false"/>
          <w:bCs w:val="false"/>
        </w:rPr>
        <w:t xml:space="preserve">A further 50 million sq ft of SM-REIT-ready commercial stock is expected to come online by 2026, with Mumbai leading at ~75 million sq ft, followed by Delhi-NCR (70 million+), Bengaluru (50 million+) and Hyderabad (30 million+).</w:t>
      </w:r>
    </w:p>
    <w:p>
      <w:pPr>
        <w:pStyle w:val="ListParagraph"/>
        <w:numPr>
          <w:ilvl w:val="0"/>
          <w:numId w:val="2"/>
        </w:numPr>
        <w:spacing w:after="80"/>
      </w:pPr>
      <w:r>
        <w:rPr>
          <w:b w:val="false"/>
          <w:bCs w:val="false"/>
        </w:rPr>
        <w:t xml:space="preserve">SEBI's SM-REIT framework is designed to make real estate assets valued at ₹50–500 crore accessible to retail and institutional investors, marking a structural broadening of how ordinary Indians can gain exposure to commercial real estate.</w:t>
      </w:r>
    </w:p>
    <w:p>
      <w:pPr>
        <w:spacing w:after="150"/>
      </w:pPr>
      <w:r>
        <w:rPr>
          <w:i/>
          <w:iCs/>
          <w:color w:val="595959"/>
          <w:sz w:val="18"/>
          <w:szCs w:val="18"/>
        </w:rPr>
        <w:t xml:space="preserve">Sources: CBRE via RERA.news/PropertyShare (SM-REIT market size, city-wise stock); CBRE India press release (SM-REIT $60bn projection).</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Property Share listed PropShare Celestia on the BSE on 24 April 2026, becoming India's third SM-REIT scheme and signalling growing capital-market appetite for fractional, SEBI-regulated commercial real estate ownership.</w:t>
      </w:r>
    </w:p>
    <w:p>
      <w:pPr>
        <w:pStyle w:val="ListParagraph"/>
        <w:numPr>
          <w:ilvl w:val="0"/>
          <w:numId w:val="2"/>
        </w:numPr>
        <w:spacing w:after="80"/>
      </w:pPr>
      <w:r>
        <w:rPr>
          <w:b w:val="false"/>
          <w:bCs w:val="false"/>
        </w:rPr>
        <w:t xml:space="preserve">The concentration of SM-REIT-ready stock in Mumbai, Delhi-NCR, Bengaluru and Hyderabad reinforces these four metros' continued dominance of India's institutional-grade commercial office market even as newer cities build out their own Grade-A pipelines.</w:t>
      </w:r>
    </w:p>
    <w:p>
      <w:pPr>
        <w:pStyle w:val="ListParagraph"/>
        <w:numPr>
          <w:ilvl w:val="0"/>
          <w:numId w:val="2"/>
        </w:numPr>
        <w:spacing w:after="80"/>
      </w:pPr>
      <w:r>
        <w:rPr>
          <w:b w:val="false"/>
          <w:bCs w:val="false"/>
        </w:rPr>
        <w:t xml:space="preserve">Regulatory guidance has advised investors to limit SM-REIT exposure to around 5% of portfolios until the asset class develops a longer track record, reflecting a measured, risk-aware approach to this fast-growing segment.</w:t>
      </w:r>
    </w:p>
    <w:p>
      <w:pPr>
        <w:spacing w:after="150"/>
      </w:pPr>
      <w:r>
        <w:rPr>
          <w:i/>
          <w:iCs/>
          <w:color w:val="595959"/>
          <w:sz w:val="18"/>
          <w:szCs w:val="18"/>
        </w:rPr>
        <w:t xml:space="preserve">Sources: PropertyShare (PropShare Celestia listing); CBRE/RERA.news; Business Standard (SM-REIT exposure guidance).</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rapid institutionalisation of India's real estate sector via SM-REITs is prompting SEBI and state regulators to coordinate more closely on disclosure standards for underlying assets, many of which are RERA-registered commercial developments.</w:t>
      </w:r>
    </w:p>
    <w:p>
      <w:pPr>
        <w:pStyle w:val="ListParagraph"/>
        <w:numPr>
          <w:ilvl w:val="0"/>
          <w:numId w:val="2"/>
        </w:numPr>
        <w:spacing w:after="80"/>
      </w:pPr>
      <w:r>
        <w:rPr>
          <w:b w:val="false"/>
          <w:bCs w:val="false"/>
        </w:rPr>
        <w:t xml:space="preserve">Andhra Pradesh's differentiated registration-charge policy for Amaravati and Karnataka's Bannerghatta Road price surge both illustrate how state-level fiscal and market dynamics continue to shape India's uneven, multi-speed real estate recovery.</w:t>
      </w:r>
    </w:p>
    <w:p>
      <w:pPr>
        <w:pStyle w:val="ListParagraph"/>
        <w:numPr>
          <w:ilvl w:val="0"/>
          <w:numId w:val="2"/>
        </w:numPr>
        <w:spacing w:after="80"/>
      </w:pPr>
      <w:r>
        <w:rPr>
          <w:b w:val="false"/>
          <w:bCs w:val="false"/>
        </w:rPr>
        <w:t xml:space="preserve">As SM-REIT-ready stock grows across Bengaluru, Hyderabad and other metros, CREDAI and NAREDCO are expected to push for greater alignment between state RERA compliance requirements and SEBI's securities-market disclosure norms.</w:t>
      </w:r>
    </w:p>
    <w:p>
      <w:pPr>
        <w:spacing w:after="150"/>
      </w:pPr>
      <w:r>
        <w:rPr>
          <w:i/>
          <w:iCs/>
          <w:color w:val="595959"/>
          <w:sz w:val="18"/>
          <w:szCs w:val="18"/>
        </w:rPr>
        <w:t xml:space="preserve">Sources: CBRE/RERA.news; Toplinerealty/Openplot; 99acres.</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2026-09-05T03:40:26.579Z</dcterms:created>
  <dcterms:modified xsi:type="dcterms:W3CDTF">2026-09-05T03:40:26.593Z</dcterms:modified>
</cp:coreProperties>
</file>

<file path=docProps/custom.xml><?xml version="1.0" encoding="utf-8"?>
<Properties xmlns="http://schemas.openxmlformats.org/officeDocument/2006/custom-properties" xmlns:vt="http://schemas.openxmlformats.org/officeDocument/2006/docPropsVTypes"/>
</file>