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5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real estate market is being described by analysts as "cooling, not crashing" in 2026 — supported by strong end-user demand from IT/ITES growth, GCCs, infrastructure expansion and urban migration, even as price growth moderates after the rapid 2023-2025 run-up.</w:t>
      </w:r>
    </w:p>
    <w:p>
      <w:pPr>
        <w:pStyle w:val="ListParagraph"/>
        <w:numPr>
          <w:ilvl w:val="0"/>
          <w:numId w:val="2"/>
        </w:numPr>
        <w:spacing w:after="80"/>
      </w:pPr>
      <w:r>
        <w:rPr>
          <w:b w:val="false"/>
          <w:bCs w:val="false"/>
        </w:rPr>
        <w:t xml:space="preserve">Residential prices are now projected to grow a more measured 6–10% in 2026 (with 6–8% annual appreciation in prime locations), a narrower range than some earlier double-digit forecasts.</w:t>
      </w:r>
    </w:p>
    <w:p>
      <w:pPr>
        <w:pStyle w:val="ListParagraph"/>
        <w:numPr>
          <w:ilvl w:val="0"/>
          <w:numId w:val="2"/>
        </w:numPr>
        <w:spacing w:after="80"/>
      </w:pPr>
      <w:r>
        <w:rPr>
          <w:b w:val="false"/>
          <w:bCs w:val="false"/>
        </w:rPr>
        <w:t xml:space="preserve">With supply at record highs and price momentum cooling, 2026 is being framed as a buyer-friendly window, with better negotiation power, attractive payment plans and wider inventory choices in growth corridors like Whitefield, Sarjapur Road, North Bengaluru and Electronic City.</w:t>
      </w:r>
    </w:p>
    <w:p>
      <w:pPr>
        <w:pStyle w:val="ListParagraph"/>
        <w:numPr>
          <w:ilvl w:val="0"/>
          <w:numId w:val="2"/>
        </w:numPr>
        <w:spacing w:after="80"/>
      </w:pPr>
      <w:r>
        <w:rPr>
          <w:b w:val="false"/>
          <w:bCs w:val="false"/>
        </w:rPr>
        <w:t xml:space="preserve">Analysts describe the market as "filtering" rather than slowing — buyers are becoming more selective, and only projects with genuine merit are moving cleanly off the shelf.</w:t>
      </w:r>
    </w:p>
    <w:p>
      <w:pPr>
        <w:spacing w:after="150"/>
      </w:pPr>
      <w:r>
        <w:rPr>
          <w:i/>
          <w:iCs/>
          <w:color w:val="595959"/>
          <w:sz w:val="18"/>
          <w:szCs w:val="18"/>
        </w:rPr>
        <w:t xml:space="preserve">Sources: NoBroker; Coldwell Banker South India; Modern Spaaces; Kanopy Ventures.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residential filtering trend is playing out alongside continued strength in the city's commercial leasing market, reinforcing the city's dual pull for occupiers and homebuyers even as the residential segment recalibrates.</w:t>
      </w:r>
    </w:p>
    <w:p>
      <w:pPr>
        <w:pStyle w:val="ListParagraph"/>
        <w:numPr>
          <w:ilvl w:val="0"/>
          <w:numId w:val="2"/>
        </w:numPr>
        <w:spacing w:after="80"/>
      </w:pPr>
      <w:r>
        <w:rPr>
          <w:b w:val="false"/>
          <w:bCs w:val="false"/>
        </w:rPr>
        <w:t xml:space="preserve">Metro expansion and infrastructure investment continue to be cited as key drivers of both commercial and residential appreciation in HSR Layout, Sarjapur Road, Whitefield and North Bangalore.</w:t>
      </w:r>
    </w:p>
    <w:p>
      <w:pPr>
        <w:pStyle w:val="ListParagraph"/>
        <w:numPr>
          <w:ilvl w:val="0"/>
          <w:numId w:val="2"/>
        </w:numPr>
        <w:spacing w:after="80"/>
      </w:pPr>
      <w:r>
        <w:rPr>
          <w:b w:val="false"/>
          <w:bCs w:val="false"/>
        </w:rPr>
        <w:t xml:space="preserve">Sustained IT hiring continues to underpin office-sector demand even as the residential market becomes more selective about which projects succeed.</w:t>
      </w:r>
    </w:p>
    <w:p>
      <w:pPr>
        <w:spacing w:after="150"/>
      </w:pPr>
      <w:r>
        <w:rPr>
          <w:i/>
          <w:iCs/>
          <w:color w:val="595959"/>
          <w:sz w:val="18"/>
          <w:szCs w:val="18"/>
        </w:rPr>
        <w:t xml:space="preserve">Sources: Beegru; Houzbay; NoBroker.</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navigate the state's e-Khata and guidance-value debates even as the broader residential market shifts into a more buyer-favourable, selective phase.</w:t>
      </w:r>
    </w:p>
    <w:p>
      <w:pPr>
        <w:pStyle w:val="ListParagraph"/>
        <w:numPr>
          <w:ilvl w:val="0"/>
          <w:numId w:val="2"/>
        </w:numPr>
        <w:spacing w:after="80"/>
      </w:pPr>
      <w:r>
        <w:rPr>
          <w:b w:val="false"/>
          <w:bCs w:val="false"/>
        </w:rPr>
        <w:t xml:space="preserve">K-RERA's compliance drive (audit-report penalties, developer rating system) continues to operate against the backdrop of a cooling but still fundamentally sound residential market, per analyst commentary.</w:t>
      </w:r>
    </w:p>
    <w:p>
      <w:pPr>
        <w:pStyle w:val="ListParagraph"/>
        <w:numPr>
          <w:ilvl w:val="0"/>
          <w:numId w:val="2"/>
        </w:numPr>
        <w:spacing w:after="80"/>
      </w:pPr>
      <w:r>
        <w:rPr>
          <w:b w:val="false"/>
          <w:bCs w:val="false"/>
        </w:rPr>
        <w:t xml:space="preserve">The state's evolving regulatory landscape — spanning e-Khata, stamp duty and RERA compliance — continues to shape how developers price and time new launches in the current filtering market.</w:t>
      </w:r>
    </w:p>
    <w:p>
      <w:pPr>
        <w:spacing w:after="150"/>
      </w:pPr>
      <w:r>
        <w:rPr>
          <w:i/>
          <w:iCs/>
          <w:color w:val="595959"/>
          <w:sz w:val="18"/>
          <w:szCs w:val="18"/>
        </w:rPr>
        <w:t xml:space="preserve">Sources: Modern Spaaces; Kanopy Ventures;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average property rates rose 9% YoY as of Q2 2026, with capital values surging across major corridors on the back of an aggressive statewide infrastructure push and a thriving IT sector.</w:t>
      </w:r>
    </w:p>
    <w:p>
      <w:pPr>
        <w:pStyle w:val="ListParagraph"/>
        <w:numPr>
          <w:ilvl w:val="0"/>
          <w:numId w:val="2"/>
        </w:numPr>
        <w:spacing w:after="80"/>
      </w:pPr>
      <w:r>
        <w:rPr>
          <w:b w:val="false"/>
          <w:bCs w:val="false"/>
        </w:rPr>
        <w:t xml:space="preserve">A key trend in Hyderabad: buyer preference is shifting from high-rise apartments toward HMDA-approved open plots and villa communities, which offer immediate ownership and zero construction-delay risk, as steel and cement cost pressures push up high-rise launch prices.</w:t>
      </w:r>
    </w:p>
    <w:p>
      <w:pPr>
        <w:pStyle w:val="ListParagraph"/>
        <w:numPr>
          <w:ilvl w:val="0"/>
          <w:numId w:val="2"/>
        </w:numPr>
        <w:spacing w:after="80"/>
      </w:pPr>
      <w:r>
        <w:rPr>
          <w:b w:val="false"/>
          <w:bCs w:val="false"/>
        </w:rPr>
        <w:t xml:space="preserve">Hyderabad's residential supply mix now comprises ~42% mid-range housing, with the high-end and luxury segment climbing to nearly 38% in certain pockets; Chennai recorded the strongest annual sales growth among major metros at 12%, versus a more modest 4% rise in Hyderabad.</w:t>
      </w:r>
    </w:p>
    <w:p>
      <w:pPr>
        <w:spacing w:after="150"/>
      </w:pPr>
      <w:r>
        <w:rPr>
          <w:i/>
          <w:iCs/>
          <w:color w:val="595959"/>
          <w:sz w:val="18"/>
          <w:szCs w:val="18"/>
        </w:rPr>
        <w:t xml:space="preserve">Sources: PingTV; Kannatts; Global Property Guide.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office market recorded strong Q1 2026 leasing momentum, with gross leasing volumes of ~3.15 million sq ft and net absorption of 2.21 million sq ft, with large-format deals dominating activity and reflecting continued MNC confidence.</w:t>
      </w:r>
    </w:p>
    <w:p>
      <w:pPr>
        <w:pStyle w:val="ListParagraph"/>
        <w:numPr>
          <w:ilvl w:val="0"/>
          <w:numId w:val="2"/>
        </w:numPr>
        <w:spacing w:after="80"/>
      </w:pPr>
      <w:r>
        <w:rPr>
          <w:b w:val="false"/>
          <w:bCs w:val="false"/>
        </w:rPr>
        <w:t xml:space="preserve">Rising steel and cement costs, linked to global supply-chain pressures, are pushing up construction and launch costs for premium high-rise developments across South India.</w:t>
      </w:r>
    </w:p>
    <w:p>
      <w:pPr>
        <w:pStyle w:val="ListParagraph"/>
        <w:numPr>
          <w:ilvl w:val="0"/>
          <w:numId w:val="2"/>
        </w:numPr>
        <w:spacing w:after="80"/>
      </w:pPr>
      <w:r>
        <w:rPr>
          <w:b w:val="false"/>
          <w:bCs w:val="false"/>
        </w:rPr>
        <w:t xml:space="preserve">Chennai's stronger sales growth (12% vs Hyderabad's 4%) reflects its continued positioning as a more resilient, value-oriented South Indian market even as Hyderabad's capital values outpace it on a per-unit basis.</w:t>
      </w:r>
    </w:p>
    <w:p>
      <w:pPr>
        <w:spacing w:after="150"/>
      </w:pPr>
      <w:r>
        <w:rPr>
          <w:i/>
          <w:iCs/>
          <w:color w:val="595959"/>
          <w:sz w:val="18"/>
          <w:szCs w:val="18"/>
        </w:rPr>
        <w:t xml:space="preserve">Sources: Cushman &amp; Wakefield Hyderabad MarketBeat; Global Property Guide.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CREDAI's continued national push for a 3–6 month RERA extension, citing construction and supply-chain challenges, remains directly relevant to South Indian developers navigating rising steel and cement costs.</w:t>
      </w:r>
    </w:p>
    <w:p>
      <w:pPr>
        <w:pStyle w:val="ListParagraph"/>
        <w:numPr>
          <w:ilvl w:val="0"/>
          <w:numId w:val="2"/>
        </w:numPr>
        <w:spacing w:after="80"/>
      </w:pPr>
      <w:r>
        <w:rPr>
          <w:b w:val="false"/>
          <w:bCs w:val="false"/>
        </w:rPr>
        <w:t xml:space="preserve">Homebuyers' body FPCE has demanded that RERA be amended to require verification of builders' track records before new project launches — a reform with direct implications for South India's fast-growing but increasingly plot/villa-oriented Hyderabad market.</w:t>
      </w:r>
    </w:p>
    <w:p>
      <w:pPr>
        <w:pStyle w:val="ListParagraph"/>
        <w:numPr>
          <w:ilvl w:val="0"/>
          <w:numId w:val="2"/>
        </w:numPr>
        <w:spacing w:after="80"/>
      </w:pPr>
      <w:r>
        <w:rPr>
          <w:b w:val="false"/>
          <w:bCs w:val="false"/>
        </w:rPr>
        <w:t xml:space="preserve">MahaRERA's reduced Self-Regulatory Organisation threshold (500 to 200 projects outside MMR) offers a potential governance template South Indian state RERAs may consider adopting.</w:t>
      </w:r>
    </w:p>
    <w:p>
      <w:pPr>
        <w:spacing w:after="150"/>
      </w:pPr>
      <w:r>
        <w:rPr>
          <w:i/>
          <w:iCs/>
          <w:color w:val="595959"/>
          <w:sz w:val="18"/>
          <w:szCs w:val="18"/>
        </w:rPr>
        <w:t xml:space="preserve">Sources: Outlook Money; Business Standard (FPCE); Business Standard (MahaRERA).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quarterly average housing sales reached 101,300 units up to Q2 2026, up from 81,600 units in FY22-FY24, reflecting healthy demand and renewed buyer confidence nationally.</w:t>
      </w:r>
    </w:p>
    <w:p>
      <w:pPr>
        <w:pStyle w:val="ListParagraph"/>
        <w:numPr>
          <w:ilvl w:val="0"/>
          <w:numId w:val="2"/>
        </w:numPr>
        <w:spacing w:after="80"/>
      </w:pPr>
      <w:r>
        <w:rPr>
          <w:b w:val="false"/>
          <w:bCs w:val="false"/>
        </w:rPr>
        <w:t xml:space="preserve">The West Asia conflict is beginning to show up in India's real estate sector through rising input costs, compounding the 3–5% construction-cost inflation already projected for 2026 across all asset classes.</w:t>
      </w:r>
    </w:p>
    <w:p>
      <w:pPr>
        <w:pStyle w:val="ListParagraph"/>
        <w:numPr>
          <w:ilvl w:val="0"/>
          <w:numId w:val="2"/>
        </w:numPr>
        <w:spacing w:after="80"/>
      </w:pPr>
      <w:r>
        <w:rPr>
          <w:b w:val="false"/>
          <w:bCs w:val="false"/>
        </w:rPr>
        <w:t xml:space="preserve">Homebuyers' body FPCE has demanded that RERA be amended to incorporate a mechanism verifying builders' track records before granting permission to launch new projects for sale — a significant consumer-protection reform proposal.</w:t>
      </w:r>
    </w:p>
    <w:p>
      <w:pPr>
        <w:spacing w:after="150"/>
      </w:pPr>
      <w:r>
        <w:rPr>
          <w:i/>
          <w:iCs/>
          <w:color w:val="595959"/>
          <w:sz w:val="18"/>
          <w:szCs w:val="18"/>
        </w:rPr>
        <w:t xml:space="preserve">Sources: Business Standard; JLL Construction Cost Guide India 2026; Business Standard (FPCE).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Construction costs are projected to rise 3–5% across all asset classes nationally in 2026, with the West Asia conflict adding further upward pressure on input costs, particularly steel and cement.</w:t>
      </w:r>
    </w:p>
    <w:p>
      <w:pPr>
        <w:pStyle w:val="ListParagraph"/>
        <w:numPr>
          <w:ilvl w:val="0"/>
          <w:numId w:val="2"/>
        </w:numPr>
        <w:spacing w:after="80"/>
      </w:pPr>
      <w:r>
        <w:rPr>
          <w:b w:val="false"/>
          <w:bCs w:val="false"/>
        </w:rPr>
        <w:t xml:space="preserve">National housing demand strength (101,300 units/quarter, up from 81,600 in FY22-FY24) continues to be concentrated in key markets including NCR, Mumbai Metropolitan Region, Pune and Bengaluru, per CREDAI's own market commentary.</w:t>
      </w:r>
    </w:p>
    <w:p>
      <w:pPr>
        <w:pStyle w:val="ListParagraph"/>
        <w:numPr>
          <w:ilvl w:val="0"/>
          <w:numId w:val="2"/>
        </w:numPr>
        <w:spacing w:after="80"/>
      </w:pPr>
      <w:r>
        <w:rPr>
          <w:b w:val="false"/>
          <w:bCs w:val="false"/>
        </w:rPr>
        <w:t xml:space="preserve">Rising steel and cement costs are increasingly shifting developer and buyer preference toward lower-construction-risk formats like plots and villas in high-growth markets such as Hyderabad.</w:t>
      </w:r>
    </w:p>
    <w:p>
      <w:pPr>
        <w:spacing w:after="150"/>
      </w:pPr>
      <w:r>
        <w:rPr>
          <w:i/>
          <w:iCs/>
          <w:color w:val="595959"/>
          <w:sz w:val="18"/>
          <w:szCs w:val="18"/>
        </w:rPr>
        <w:t xml:space="preserve">Sources: JLL Construction Cost Guide India 2026; Business Standard; PingTV/Kannatts.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MahaRERA has reduced the eligibility threshold for forming Self-Regulatory Organisations (SROs) from 500 projects to 200 projects for areas outside the Mumbai Metropolitan Region, broadening industry self-governance participation.</w:t>
      </w:r>
    </w:p>
    <w:p>
      <w:pPr>
        <w:pStyle w:val="ListParagraph"/>
        <w:numPr>
          <w:ilvl w:val="0"/>
          <w:numId w:val="2"/>
        </w:numPr>
        <w:spacing w:after="80"/>
      </w:pPr>
      <w:r>
        <w:rPr>
          <w:b w:val="false"/>
          <w:bCs w:val="false"/>
        </w:rPr>
        <w:t xml:space="preserve">Homebuyers' body FPCE has demanded RERA be amended to verify builders' track records before permitting new project launches, adding a fresh consumer-advocacy dimension to the ongoing RERA reform conversation.</w:t>
      </w:r>
    </w:p>
    <w:p>
      <w:pPr>
        <w:pStyle w:val="ListParagraph"/>
        <w:numPr>
          <w:ilvl w:val="0"/>
          <w:numId w:val="2"/>
        </w:numPr>
        <w:spacing w:after="80"/>
      </w:pPr>
      <w:r>
        <w:rPr>
          <w:b w:val="false"/>
          <w:bCs w:val="false"/>
        </w:rPr>
        <w:t xml:space="preserve">CREDAI continues to press for a 3–6 month RERA project-completion extension nationally, citing construction and supply-chain challenges now compounded by West Asia conflict-linked input-cost pressures.</w:t>
      </w:r>
    </w:p>
    <w:p>
      <w:pPr>
        <w:spacing w:after="150"/>
      </w:pPr>
      <w:r>
        <w:rPr>
          <w:i/>
          <w:iCs/>
          <w:color w:val="595959"/>
          <w:sz w:val="18"/>
          <w:szCs w:val="18"/>
        </w:rPr>
        <w:t xml:space="preserve">Sources: Business Standard (MahaRERA); Business Standard (FPCE);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2026-08-05T03:40:54.276Z</dcterms:created>
  <dcterms:modified xsi:type="dcterms:W3CDTF">2026-08-05T03:40:54.296Z</dcterms:modified>
</cp:coreProperties>
</file>

<file path=docProps/custom.xml><?xml version="1.0" encoding="utf-8"?>
<Properties xmlns="http://schemas.openxmlformats.org/officeDocument/2006/custom-properties" xmlns:vt="http://schemas.openxmlformats.org/officeDocument/2006/docPropsVTypes"/>
</file>