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13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Bellandur's average asking price has climbed to roughly ₹14,299 per sq ft (up 8.1% YoY per Housing.com), with Magicbricks placing multistorey apartment rates even higher at ₹15,208 per sq ft, spanning micro-markets like Bellandur Village, Green Glen Layout, Adarsh Palm Retreat and Devarabisanahalli.</w:t>
      </w:r>
    </w:p>
    <w:p>
      <w:pPr>
        <w:pStyle w:val="ListParagraph"/>
        <w:numPr>
          <w:ilvl w:val="0"/>
          <w:numId w:val="2"/>
        </w:numPr>
        <w:spacing w:after="80"/>
      </w:pPr>
      <w:r>
        <w:rPr>
          <w:b w:val="false"/>
          <w:bCs w:val="false"/>
        </w:rPr>
        <w:t xml:space="preserve">Connectivity along the Outer Ring Road's Marathahalli-Bellandur stretch is set to improve further with an upcoming ORR metro line and a dedicated Bellandur station expected in 2026, reinforcing the corridor's status as the city's highest-occupancy IT belt.</w:t>
      </w:r>
    </w:p>
    <w:p>
      <w:pPr>
        <w:pStyle w:val="ListParagraph"/>
        <w:numPr>
          <w:ilvl w:val="0"/>
          <w:numId w:val="2"/>
        </w:numPr>
        <w:spacing w:after="80"/>
      </w:pPr>
      <w:r>
        <w:rPr>
          <w:b w:val="false"/>
          <w:bCs w:val="false"/>
        </w:rPr>
        <w:t xml:space="preserve">Bengaluru's new residential launches rose 41% YoY in Q2 2026 (vs Q2 2025), with the city separately posting the highest quarterly (+12%) and yearly (+24%) sales increases among major cities in Q1 2026, per ANAROCK.</w:t>
      </w:r>
    </w:p>
    <w:p>
      <w:pPr>
        <w:spacing w:after="150"/>
      </w:pPr>
      <w:r>
        <w:rPr>
          <w:i/>
          <w:iCs/>
          <w:color w:val="595959"/>
          <w:sz w:val="18"/>
          <w:szCs w:val="18"/>
        </w:rPr>
        <w:t xml:space="preserve">Sources: Housing.com/Magicbricks via SquareYards (Bellandur pricing); Estate Hive/RealtyPromoo (ORR metro, Bellandur station); ANAROCK via Outlook Money (Q1-Q2 2026 city-wise launch and sales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Prestige Group has received approval for a 1.5-km flyover connecting its upcoming Prestige Beta Tech Park in Bellandur to the Outer Ring Road, alongside widening of Kariyammana Agrahara Road to ease access to the corridor.</w:t>
      </w:r>
    </w:p>
    <w:p>
      <w:pPr>
        <w:pStyle w:val="ListParagraph"/>
        <w:numPr>
          <w:ilvl w:val="0"/>
          <w:numId w:val="2"/>
        </w:numPr>
        <w:spacing w:after="80"/>
      </w:pPr>
      <w:r>
        <w:rPr>
          <w:b w:val="false"/>
          <w:bCs w:val="false"/>
        </w:rPr>
        <w:t xml:space="preserve">The Marathahalli-Bellandur stretch of the Outer Ring Road continues to offer Bengaluru's highest IT corridor occupancy and most stable rental yields, sustaining strong investor and end-user demand despite already-elevated pricing.</w:t>
      </w:r>
    </w:p>
    <w:p>
      <w:pPr>
        <w:pStyle w:val="ListParagraph"/>
        <w:numPr>
          <w:ilvl w:val="0"/>
          <w:numId w:val="2"/>
        </w:numPr>
        <w:spacing w:after="80"/>
      </w:pPr>
      <w:r>
        <w:rPr>
          <w:b w:val="false"/>
          <w:bCs w:val="false"/>
        </w:rPr>
        <w:t xml:space="preserve">Bengaluru's 41% YoY surge in Q2 2026 new launches reflects continued developer confidence in IT-linked commercial catchments like Bellandur, even as overall city-wide sales growth moderates from earlier peaks.</w:t>
      </w:r>
    </w:p>
    <w:p>
      <w:pPr>
        <w:spacing w:after="150"/>
      </w:pPr>
      <w:r>
        <w:rPr>
          <w:i/>
          <w:iCs/>
          <w:color w:val="595959"/>
          <w:sz w:val="18"/>
          <w:szCs w:val="18"/>
        </w:rPr>
        <w:t xml:space="preserve">Sources: Sterling Developers/Bangalore Upcoming Residential Projects (Prestige Beta Tech Park flyover); SquareYards (ORR occupancy); ANAROCK via Outlook Money.</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of Bellandur's premium new launches remains a priority given the corridor's elevated pricing (up to ₹15,208 per sq ft) and continued infrastructure-driven appreciation.</w:t>
      </w:r>
    </w:p>
    <w:p>
      <w:pPr>
        <w:pStyle w:val="ListParagraph"/>
        <w:numPr>
          <w:ilvl w:val="0"/>
          <w:numId w:val="2"/>
        </w:numPr>
        <w:spacing w:after="80"/>
      </w:pPr>
      <w:r>
        <w:rPr>
          <w:b w:val="false"/>
          <w:bCs w:val="false"/>
        </w:rPr>
        <w:t xml:space="preserve">CREDAI Karnataka continues to cite Bengaluru's 41% YoY new-launch growth in Q2 2026 — the highest among ANAROCK-tracked cities — as evidence of sustained developer confidence in the city's IT-corridor markets.</w:t>
      </w:r>
    </w:p>
    <w:p>
      <w:pPr>
        <w:pStyle w:val="ListParagraph"/>
        <w:numPr>
          <w:ilvl w:val="0"/>
          <w:numId w:val="2"/>
        </w:numPr>
        <w:spacing w:after="80"/>
      </w:pPr>
      <w:r>
        <w:rPr>
          <w:b w:val="false"/>
          <w:bCs w:val="false"/>
        </w:rPr>
        <w:t xml:space="preserve">Coordinated state approvals for private infrastructure like Prestige's Bellandur flyover, alongside public ORR metro construction, reflect close collaboration between Karnataka authorities and CREDAI Karnataka on managing the corridor's growth.</w:t>
      </w:r>
    </w:p>
    <w:p>
      <w:pPr>
        <w:spacing w:after="150"/>
      </w:pPr>
      <w:r>
        <w:rPr>
          <w:i/>
          <w:iCs/>
          <w:color w:val="595959"/>
          <w:sz w:val="18"/>
          <w:szCs w:val="18"/>
        </w:rPr>
        <w:t xml:space="preserve">Sources: SquareYards; Sterling Developers; ANAROCK via Outlook Money.</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Transit-Oriented Development (TOD) zones — Hitech City, Raidurg, Miyapur, Uppal, Nagole and the BHEL corridor — are seeing 15–25% YoY price appreciation for projects within 500-800 metres of metro stations.</w:t>
      </w:r>
    </w:p>
    <w:p>
      <w:pPr>
        <w:pStyle w:val="ListParagraph"/>
        <w:numPr>
          <w:ilvl w:val="0"/>
          <w:numId w:val="2"/>
        </w:numPr>
        <w:spacing w:after="80"/>
      </w:pPr>
      <w:r>
        <w:rPr>
          <w:b w:val="false"/>
          <w:bCs w:val="false"/>
        </w:rPr>
        <w:t xml:space="preserve">Telangana's TOD policy, framed in 2023, offers FAR incentives, mixed-use zoning and support for eco-friendly development around transport corridors, continuing to shape investment patterns across Hyderabad's key metro-linked micro-markets.</w:t>
      </w:r>
    </w:p>
    <w:p>
      <w:pPr>
        <w:pStyle w:val="ListParagraph"/>
        <w:numPr>
          <w:ilvl w:val="0"/>
          <w:numId w:val="2"/>
        </w:numPr>
        <w:spacing w:after="80"/>
      </w:pPr>
      <w:r>
        <w:rPr>
          <w:b w:val="false"/>
          <w:bCs w:val="false"/>
        </w:rPr>
        <w:t xml:space="preserve">Chennai recorded the highest quarterly sales drop (18%) but also the highest yearly gain (31%) among all major cities in Q1 2026, reflecting a volatile yet fundamentally resilient South Indian housing market, per ANAROCK.</w:t>
      </w:r>
    </w:p>
    <w:p>
      <w:pPr>
        <w:spacing w:after="150"/>
      </w:pPr>
      <w:r>
        <w:rPr>
          <w:i/>
          <w:iCs/>
          <w:color w:val="595959"/>
          <w:sz w:val="18"/>
          <w:szCs w:val="18"/>
        </w:rPr>
        <w:t xml:space="preserve">Sources: MyOpenPlots/RealtyDataHub (Hyderabad TOD zones, price appreciation); L&amp;T Metro (TOD policy framework); ANAROCK via Outlook Money (Chennai Q1 2026 sales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 Metro Rail's TOD development potential totals 18.5 million sq ft, with about 1.8 million sq ft already developed and the remaining 16.7 million sq ft to be built out in phases across the city's key transit corridors.</w:t>
      </w:r>
    </w:p>
    <w:p>
      <w:pPr>
        <w:pStyle w:val="ListParagraph"/>
        <w:numPr>
          <w:ilvl w:val="0"/>
          <w:numId w:val="2"/>
        </w:numPr>
        <w:spacing w:after="80"/>
      </w:pPr>
      <w:r>
        <w:rPr>
          <w:b w:val="false"/>
          <w:bCs w:val="false"/>
        </w:rPr>
        <w:t xml:space="preserve">Chennai's new residential supply fell 38% YoY in Q2 2026 even as the city posted a 31% yearly sales gain in Q1 2026, pointing to a temporary developer pullback on launches amid otherwise resilient underlying demand.</w:t>
      </w:r>
    </w:p>
    <w:p>
      <w:pPr>
        <w:pStyle w:val="ListParagraph"/>
        <w:numPr>
          <w:ilvl w:val="0"/>
          <w:numId w:val="2"/>
        </w:numPr>
        <w:spacing w:after="80"/>
      </w:pPr>
      <w:r>
        <w:rPr>
          <w:b w:val="false"/>
          <w:bCs w:val="false"/>
        </w:rPr>
        <w:t xml:space="preserve">Telangana's TOD-driven mixed-use zoning is expected to sustain commercial and retail development around Hyderabad's Hitech City, Raidurg and Uppal corridors over the coming years as metro ridership grows.</w:t>
      </w:r>
    </w:p>
    <w:p>
      <w:pPr>
        <w:spacing w:after="150"/>
      </w:pPr>
      <w:r>
        <w:rPr>
          <w:i/>
          <w:iCs/>
          <w:color w:val="595959"/>
          <w:sz w:val="18"/>
          <w:szCs w:val="18"/>
        </w:rPr>
        <w:t xml:space="preserve">Sources: L&amp;T Metro (Hyderabad Metro TOD development potential); ANAROCK via Outlook Money (Chennai supply-demand trends).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Telangana's 2023 TOD policy — offering FAR incentives and mixed-use zoning near transit corridors — gives CREDAI Telangana a multi-year framework for registering new projects across Hitech City, Raidurg, Miyapur, Uppal and Nagole.</w:t>
      </w:r>
    </w:p>
    <w:p>
      <w:pPr>
        <w:pStyle w:val="ListParagraph"/>
        <w:numPr>
          <w:ilvl w:val="0"/>
          <w:numId w:val="2"/>
        </w:numPr>
        <w:spacing w:after="80"/>
      </w:pPr>
      <w:r>
        <w:rPr>
          <w:b w:val="false"/>
          <w:bCs w:val="false"/>
        </w:rPr>
        <w:t xml:space="preserve">Chennai's volatile Q1-Q2 2026 supply-demand swings (18% quarterly sales drop, 31% yearly gain, then a 38% YoY supply fall) are likely to keep Tamil Nadu CREDAI focused on launch-pacing discipline through the rest of 2026.</w:t>
      </w:r>
    </w:p>
    <w:p>
      <w:pPr>
        <w:pStyle w:val="ListParagraph"/>
        <w:numPr>
          <w:ilvl w:val="0"/>
          <w:numId w:val="2"/>
        </w:numPr>
        <w:spacing w:after="80"/>
      </w:pPr>
      <w:r>
        <w:rPr>
          <w:b w:val="false"/>
          <w:bCs w:val="false"/>
        </w:rPr>
        <w:t xml:space="preserve">With TOD-zone projects near Hyderabad Metro stations appreciating 15-25% YoY, CREDAI Telangana members are expected to prioritise registrations in these corridors over the coming project cycles.</w:t>
      </w:r>
    </w:p>
    <w:p>
      <w:pPr>
        <w:spacing w:after="150"/>
      </w:pPr>
      <w:r>
        <w:rPr>
          <w:i/>
          <w:iCs/>
          <w:color w:val="595959"/>
          <w:sz w:val="18"/>
          <w:szCs w:val="18"/>
        </w:rPr>
        <w:t xml:space="preserve">Sources: MyOpenPlots/RealtyDataHub; ANAROCK via Outlook Money; L&amp;T Metro.</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green building movement has scaled to over 19,000 IGBC-registered projects covering roughly 15.7 billion sq ft of built environment, making India the world's second-largest green building footprint after the United States.</w:t>
      </w:r>
    </w:p>
    <w:p>
      <w:pPr>
        <w:pStyle w:val="ListParagraph"/>
        <w:numPr>
          <w:ilvl w:val="0"/>
          <w:numId w:val="2"/>
        </w:numPr>
        <w:spacing w:after="80"/>
      </w:pPr>
      <w:r>
        <w:rPr>
          <w:b w:val="false"/>
          <w:bCs w:val="false"/>
        </w:rPr>
        <w:t xml:space="preserve">More than 7,300 of these registered projects are now fully certified and operational, together delivering annual energy savings running into tens of billions of units and a meaningful reduction in national carbon output.</w:t>
      </w:r>
    </w:p>
    <w:p>
      <w:pPr>
        <w:pStyle w:val="ListParagraph"/>
        <w:numPr>
          <w:ilvl w:val="0"/>
          <w:numId w:val="2"/>
        </w:numPr>
        <w:spacing w:after="80"/>
      </w:pPr>
      <w:r>
        <w:rPr>
          <w:b w:val="false"/>
          <w:bCs w:val="false"/>
        </w:rPr>
        <w:t xml:space="preserve">By March 2026, certified IGBC Green Homes had reached 450 projects nationally, with a portfolio of ₹55 crore in Assets Under Management, signalling early but accelerating institutional interest in certified green residential stock.</w:t>
      </w:r>
    </w:p>
    <w:p>
      <w:pPr>
        <w:spacing w:after="150"/>
      </w:pPr>
      <w:r>
        <w:rPr>
          <w:i/>
          <w:iCs/>
          <w:color w:val="595959"/>
          <w:sz w:val="18"/>
          <w:szCs w:val="18"/>
        </w:rPr>
        <w:t xml:space="preserve">Sources: SquareYards (IGBC green building scale, national footprint); ConstructionPlacements/IGBC (Green Homes certification count, AUM).</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IGBC is preparing to launch Version 4 of its green building rating tool at the Green Building Congress on 27 November in Mumbai, reflecting continued evolution of India's dominant sustainability certification framework.</w:t>
      </w:r>
    </w:p>
    <w:p>
      <w:pPr>
        <w:pStyle w:val="ListParagraph"/>
        <w:numPr>
          <w:ilvl w:val="0"/>
          <w:numId w:val="2"/>
        </w:numPr>
        <w:spacing w:after="80"/>
      </w:pPr>
      <w:r>
        <w:rPr>
          <w:b w:val="false"/>
          <w:bCs w:val="false"/>
        </w:rPr>
        <w:t xml:space="preserve">States including Assam, Maharashtra, Rajasthan and Punjab already offer FAR incentives, property tax rebates and fast-track approvals for green-certified projects, with more states expected to introduce similar incentives nationally.</w:t>
      </w:r>
    </w:p>
    <w:p>
      <w:pPr>
        <w:pStyle w:val="ListParagraph"/>
        <w:numPr>
          <w:ilvl w:val="0"/>
          <w:numId w:val="2"/>
        </w:numPr>
        <w:spacing w:after="80"/>
      </w:pPr>
      <w:r>
        <w:rPr>
          <w:b w:val="false"/>
          <w:bCs w:val="false"/>
        </w:rPr>
        <w:t xml:space="preserve">GRIHA compliance remains mandatory for all central government real estate projects, reinforcing sustainability as a baseline requirement across India's public-sector construction pipeline.</w:t>
      </w:r>
    </w:p>
    <w:p>
      <w:pPr>
        <w:spacing w:after="150"/>
      </w:pPr>
      <w:r>
        <w:rPr>
          <w:i/>
          <w:iCs/>
          <w:color w:val="595959"/>
          <w:sz w:val="18"/>
          <w:szCs w:val="18"/>
        </w:rPr>
        <w:t xml:space="preserve">Sources: SquareYards; ConstructionPlacements/IGBC; HomeFirst India (GRIHA government mandate).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rapid scale-up of green building certification (19,000+ projects, 15.7 billion sq ft) is prompting CREDAI and NAREDCO to push for wider adoption of FAR-incentive and tax-rebate schemes for certified projects across more states nationally.</w:t>
      </w:r>
    </w:p>
    <w:p>
      <w:pPr>
        <w:pStyle w:val="ListParagraph"/>
        <w:numPr>
          <w:ilvl w:val="0"/>
          <w:numId w:val="2"/>
        </w:numPr>
        <w:spacing w:after="80"/>
      </w:pPr>
      <w:r>
        <w:rPr>
          <w:b w:val="false"/>
          <w:bCs w:val="false"/>
        </w:rPr>
        <w:t xml:space="preserve">Telangana's TOD policy — pairing FAR incentives with mixed-use zoning near transit corridors — offers a template that other states' planning bodies and RERAs may study as they integrate density incentives with public transit and sustainability goals.</w:t>
      </w:r>
    </w:p>
    <w:p>
      <w:pPr>
        <w:pStyle w:val="ListParagraph"/>
        <w:numPr>
          <w:ilvl w:val="0"/>
          <w:numId w:val="2"/>
        </w:numPr>
        <w:spacing w:after="80"/>
      </w:pPr>
      <w:r>
        <w:rPr>
          <w:b w:val="false"/>
          <w:bCs w:val="false"/>
        </w:rPr>
        <w:t xml:space="preserve">Continued strong new-launch growth in Bengaluru (41% YoY in Q2 2026) alongside Chennai's volatile but resilient demand reinforces how state-level policy tools — TOD, green certification, FAR incentives — are increasingly shaping India's real estate growth nationally.</w:t>
      </w:r>
    </w:p>
    <w:p>
      <w:pPr>
        <w:spacing w:after="150"/>
      </w:pPr>
      <w:r>
        <w:rPr>
          <w:i/>
          <w:iCs/>
          <w:color w:val="595959"/>
          <w:sz w:val="18"/>
          <w:szCs w:val="18"/>
        </w:rPr>
        <w:t xml:space="preserve">Sources: SquareYards; MyOpenPlots/L&amp;T Metro; ANAROCK via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2026-09-13T03:40:38.092Z</dcterms:created>
  <dcterms:modified xsi:type="dcterms:W3CDTF">2026-09-13T03:40:38.108Z</dcterms:modified>
</cp:coreProperties>
</file>

<file path=docProps/custom.xml><?xml version="1.0" encoding="utf-8"?>
<Properties xmlns="http://schemas.openxmlformats.org/officeDocument/2006/custom-properties" xmlns:vt="http://schemas.openxmlformats.org/officeDocument/2006/docPropsVTypes"/>
</file>