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Thursday, 30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recorded a historic 49,252 residential unit launches in full-year 2025 (+28% YoY); H1 2026 launches already crossed 25,000 units, a record first half, with Q2 2026 alone adding 12,544 units (+4% YoY).</w:t>
      </w:r>
    </w:p>
    <w:p>
      <w:pPr>
        <w:pStyle w:val="ListParagraph"/>
        <w:numPr>
          <w:ilvl w:val="0"/>
          <w:numId w:val="2"/>
        </w:numPr>
        <w:spacing w:after="80"/>
      </w:pPr>
      <w:r>
        <w:rPr>
          <w:b w:val="false"/>
          <w:bCs w:val="false"/>
        </w:rPr>
        <w:t xml:space="preserve">Century Real Estate has announced a ₹3,000 crore mixed-use project in East Bengaluru spanning 1.7 million sq ft of residential space across 750 apartments.</w:t>
      </w:r>
    </w:p>
    <w:p>
      <w:pPr>
        <w:pStyle w:val="ListParagraph"/>
        <w:numPr>
          <w:ilvl w:val="0"/>
          <w:numId w:val="2"/>
        </w:numPr>
        <w:spacing w:after="80"/>
      </w:pPr>
      <w:r>
        <w:rPr>
          <w:b w:val="false"/>
          <w:bCs w:val="false"/>
        </w:rPr>
        <w:t xml:space="preserve">Mahindra Lifespace has launched "Mahindra NewHaven" in South Bengaluru, adding to the submarket's 38% share of citywide launches (Electronic City, Bannerghatta Road, Kanakapura Road corridors).</w:t>
      </w:r>
    </w:p>
    <w:p>
      <w:pPr>
        <w:pStyle w:val="ListParagraph"/>
        <w:numPr>
          <w:ilvl w:val="0"/>
          <w:numId w:val="2"/>
        </w:numPr>
        <w:spacing w:after="80"/>
      </w:pPr>
      <w:r>
        <w:rPr>
          <w:b w:val="false"/>
          <w:bCs w:val="false"/>
        </w:rPr>
        <w:t xml:space="preserve">Prestige Group announced residential launches worth ₹16,133.8 crore in GDV in a recent quarter, underscoring continued aggressive launch activity from the city's leading developers.</w:t>
      </w:r>
    </w:p>
    <w:p>
      <w:pPr>
        <w:spacing w:after="150"/>
      </w:pPr>
      <w:r>
        <w:rPr>
          <w:i/>
          <w:iCs/>
          <w:color w:val="595959"/>
          <w:sz w:val="18"/>
          <w:szCs w:val="18"/>
        </w:rPr>
        <w:t xml:space="preserve">Sources: Cushman &amp; Wakefield Bengaluru MarketBeat; Business Standard (Century Real Estate, Mahindra Lifespace, Prestige Group).</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 continues to anchor Prestige Group's broader launch pipeline, which spans Bengaluru, NCR, Chennai and Mumbai in the months ahead.</w:t>
      </w:r>
    </w:p>
    <w:p>
      <w:pPr>
        <w:pStyle w:val="ListParagraph"/>
        <w:numPr>
          <w:ilvl w:val="0"/>
          <w:numId w:val="2"/>
        </w:numPr>
        <w:spacing w:after="80"/>
      </w:pPr>
      <w:r>
        <w:rPr>
          <w:b w:val="false"/>
          <w:bCs w:val="false"/>
        </w:rPr>
        <w:t xml:space="preserve">Century Real Estate's new East Bengaluru mixed-use project reflects continued developer confidence in blending commercial and residential components within single large-format developments.</w:t>
      </w:r>
    </w:p>
    <w:p>
      <w:pPr>
        <w:pStyle w:val="ListParagraph"/>
        <w:numPr>
          <w:ilvl w:val="0"/>
          <w:numId w:val="2"/>
        </w:numPr>
        <w:spacing w:after="80"/>
      </w:pPr>
      <w:r>
        <w:rPr>
          <w:b w:val="false"/>
          <w:bCs w:val="false"/>
        </w:rPr>
        <w:t xml:space="preserve">Bengaluru's office and industrial leasing momentum (14.1 million sq ft H1 2026 commercial leasing, led by GCCs) continues to run alongside this residential launch wave, reinforcing the city's dual pull for occupiers and homebuyers.</w:t>
      </w:r>
    </w:p>
    <w:p>
      <w:pPr>
        <w:spacing w:after="150"/>
      </w:pPr>
      <w:r>
        <w:rPr>
          <w:i/>
          <w:iCs/>
          <w:color w:val="595959"/>
          <w:sz w:val="18"/>
          <w:szCs w:val="18"/>
        </w:rPr>
        <w:t xml:space="preserve">Sources: Business Standard (Prestige Group, Century Real Estate); Cushman &amp; Wakefield Bengaluru MarketBeat.</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CREDAI continues to be urged by national leadership to formulate affordable and eco-friendly housing schemes tailored to different urban segments, incorporating green areas, energy-efficient design, water recycling and rainwater harvesting — a theme directly relevant to Bengaluru's fast-growing peripheral corridors.</w:t>
      </w:r>
    </w:p>
    <w:p>
      <w:pPr>
        <w:pStyle w:val="ListParagraph"/>
        <w:numPr>
          <w:ilvl w:val="0"/>
          <w:numId w:val="2"/>
        </w:numPr>
        <w:spacing w:after="80"/>
      </w:pPr>
      <w:r>
        <w:rPr>
          <w:b w:val="false"/>
          <w:bCs w:val="false"/>
        </w:rPr>
        <w:t xml:space="preserve">K-RERA's compliance push (audit-report penalties, developer rating system) continues alongside these large new launches, adding a layer of regulatory scrutiny to the city's active pipeline of big-ticket projects.</w:t>
      </w:r>
    </w:p>
    <w:p>
      <w:pPr>
        <w:pStyle w:val="ListParagraph"/>
        <w:numPr>
          <w:ilvl w:val="0"/>
          <w:numId w:val="2"/>
        </w:numPr>
        <w:spacing w:after="80"/>
      </w:pPr>
      <w:r>
        <w:rPr>
          <w:b w:val="false"/>
          <w:bCs w:val="false"/>
        </w:rPr>
        <w:t xml:space="preserve">CREDAI Karnataka continues to balance advocacy for faster approvals with the state's own guidance-value and registration-fee policy debates.</w:t>
      </w:r>
    </w:p>
    <w:p>
      <w:pPr>
        <w:spacing w:after="150"/>
      </w:pPr>
      <w:r>
        <w:rPr>
          <w:i/>
          <w:iCs/>
          <w:color w:val="595959"/>
          <w:sz w:val="18"/>
          <w:szCs w:val="18"/>
        </w:rPr>
        <w:t xml:space="preserve">Sources: Home Pravesh; Deccan Herald; CREDAI Karnataka.</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Prestige Estates launched "Prestige Spring Heights" in Hyderabad in Q4 FY25 — a 5.05 million sq ft, 1,656-unit project with a GDV of ₹3,200.4 crore — achieving ₹1,110.1 crore in sales within the final days of the quarter.</w:t>
      </w:r>
    </w:p>
    <w:p>
      <w:pPr>
        <w:pStyle w:val="ListParagraph"/>
        <w:numPr>
          <w:ilvl w:val="0"/>
          <w:numId w:val="2"/>
        </w:numPr>
        <w:spacing w:after="80"/>
      </w:pPr>
      <w:r>
        <w:rPr>
          <w:b w:val="false"/>
          <w:bCs w:val="false"/>
        </w:rPr>
        <w:t xml:space="preserve">Brigade Enterprises launched "Brigade Morgan Heights" along the Sholinganallur-Medavakkam Road in Chennai — a 14.7-acre, 1,250-unit project with a GDV of ₹2,100 crore and 2.2 million sq ft of development potential, structured as a joint development agreement.</w:t>
      </w:r>
    </w:p>
    <w:p>
      <w:pPr>
        <w:pStyle w:val="ListParagraph"/>
        <w:numPr>
          <w:ilvl w:val="0"/>
          <w:numId w:val="2"/>
        </w:numPr>
        <w:spacing w:after="80"/>
      </w:pPr>
      <w:r>
        <w:rPr>
          <w:b w:val="false"/>
          <w:bCs w:val="false"/>
        </w:rPr>
        <w:t xml:space="preserve">Hyderabad's North West region accounted for 64% of the city's total housing sales, worth ₹19,826 crore, per a recent CREDAI Hyderabad report highlighting the city's rising demand and investor confidence.</w:t>
      </w:r>
    </w:p>
    <w:p>
      <w:pPr>
        <w:spacing w:after="150"/>
      </w:pPr>
      <w:r>
        <w:rPr>
          <w:i/>
          <w:iCs/>
          <w:color w:val="595959"/>
          <w:sz w:val="18"/>
          <w:szCs w:val="18"/>
        </w:rPr>
        <w:t xml:space="preserve">Sources: Business Standard (Prestige Estates, Brigade Enterprises); RERA.news/CREDAI Hyderabad Report 2025.</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Brigade Group continues to expand its new-launch pipeline across Bengaluru, Chennai, Hyderabad and Mysuru, reflecting sustained developer confidence in South India's multi-city growth story.</w:t>
      </w:r>
    </w:p>
    <w:p>
      <w:pPr>
        <w:pStyle w:val="ListParagraph"/>
        <w:numPr>
          <w:ilvl w:val="0"/>
          <w:numId w:val="2"/>
        </w:numPr>
        <w:spacing w:after="80"/>
      </w:pPr>
      <w:r>
        <w:rPr>
          <w:b w:val="false"/>
          <w:bCs w:val="false"/>
        </w:rPr>
        <w:t xml:space="preserve">Prestige Constructions has flagged upcoming landmark developments in Kochi, rooted in regional character, adding Kerala to the list of South Indian markets seeing renewed large-format developer interest.</w:t>
      </w:r>
    </w:p>
    <w:p>
      <w:pPr>
        <w:pStyle w:val="ListParagraph"/>
        <w:numPr>
          <w:ilvl w:val="0"/>
          <w:numId w:val="2"/>
        </w:numPr>
        <w:spacing w:after="80"/>
      </w:pPr>
      <w:r>
        <w:rPr>
          <w:b w:val="false"/>
          <w:bCs w:val="false"/>
        </w:rPr>
        <w:t xml:space="preserve">CREDAI's Hyderabad 2025 report continues to highlight infrastructure expansion as a key driver of the city's commercial and residential momentum.</w:t>
      </w:r>
    </w:p>
    <w:p>
      <w:pPr>
        <w:spacing w:after="150"/>
      </w:pPr>
      <w:r>
        <w:rPr>
          <w:i/>
          <w:iCs/>
          <w:color w:val="595959"/>
          <w:sz w:val="18"/>
          <w:szCs w:val="18"/>
        </w:rPr>
        <w:t xml:space="preserve">Sources: Brigade Group; Prestige Constructions; RERA.news/CREDAI Hyderabad Report 2025.</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CREDAI's Hyderabad Property Show 2026 (28–30 August, HITEX) continues to be promoted under the "Rate Aagadhu – Demand Thaggadhu" banner, urging homebuyers to invest with confidence in the city's real estate ecosystem.</w:t>
      </w:r>
    </w:p>
    <w:p>
      <w:pPr>
        <w:pStyle w:val="ListParagraph"/>
        <w:numPr>
          <w:ilvl w:val="0"/>
          <w:numId w:val="2"/>
        </w:numPr>
        <w:spacing w:after="80"/>
      </w:pPr>
      <w:r>
        <w:rPr>
          <w:b w:val="false"/>
          <w:bCs w:val="false"/>
        </w:rPr>
        <w:t xml:space="preserve">CREDAI's national call to formulate affordable and eco-friendly housing schemes is expected to filter into South Indian chapters' own state-level advocacy agendas.</w:t>
      </w:r>
    </w:p>
    <w:p>
      <w:pPr>
        <w:pStyle w:val="ListParagraph"/>
        <w:numPr>
          <w:ilvl w:val="0"/>
          <w:numId w:val="2"/>
        </w:numPr>
        <w:spacing w:after="80"/>
      </w:pPr>
      <w:r>
        <w:rPr>
          <w:b w:val="false"/>
          <w:bCs w:val="false"/>
        </w:rPr>
        <w:t xml:space="preserve">RERA's growing national footprint (1.55 lakh registered projects, 1.10 lakh developers) continues to be a reference point for South India's own state RERA compliance and reporting frameworks.</w:t>
      </w:r>
    </w:p>
    <w:p>
      <w:pPr>
        <w:spacing w:after="150"/>
      </w:pPr>
      <w:r>
        <w:rPr>
          <w:i/>
          <w:iCs/>
          <w:color w:val="595959"/>
          <w:sz w:val="18"/>
          <w:szCs w:val="18"/>
        </w:rPr>
        <w:t xml:space="preserve">Sources: The Hans India; Home Pravesh; DD News.</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real estate sector continues to benefit from measures such as 100% FDI through the automatic route and the ₹60,000 crore National Urban Housing Fund, both cited as key structural supports for the sector's continued growth.</w:t>
      </w:r>
    </w:p>
    <w:p>
      <w:pPr>
        <w:pStyle w:val="ListParagraph"/>
        <w:numPr>
          <w:ilvl w:val="0"/>
          <w:numId w:val="2"/>
        </w:numPr>
        <w:spacing w:after="80"/>
      </w:pPr>
      <w:r>
        <w:rPr>
          <w:b w:val="false"/>
          <w:bCs w:val="false"/>
        </w:rPr>
        <w:t xml:space="preserve">CREDAI has been urged by national leadership to formulate affordable and eco-friendly housing schemes suited to different urban segments, with a growing emphasis on green building practices, energy efficiency, water recycling and rainwater harvesting.</w:t>
      </w:r>
    </w:p>
    <w:p>
      <w:pPr>
        <w:pStyle w:val="ListParagraph"/>
        <w:numPr>
          <w:ilvl w:val="0"/>
          <w:numId w:val="2"/>
        </w:numPr>
        <w:spacing w:after="80"/>
      </w:pPr>
      <w:r>
        <w:rPr>
          <w:b w:val="false"/>
          <w:bCs w:val="false"/>
        </w:rPr>
        <w:t xml:space="preserve">Developer-level momentum remains strong nationally, illustrated by large individual project launches such as Prestige Spring Heights (Hyderabad, ₹3,200 crore GDV) and Brigade Morgan Heights (Chennai, ₹2,100 crore GDV).</w:t>
      </w:r>
    </w:p>
    <w:p>
      <w:pPr>
        <w:spacing w:after="150"/>
      </w:pPr>
      <w:r>
        <w:rPr>
          <w:i/>
          <w:iCs/>
          <w:color w:val="595959"/>
          <w:sz w:val="18"/>
          <w:szCs w:val="18"/>
        </w:rPr>
        <w:t xml:space="preserve">Sources: Home Pravesh; DD News; Business Standard.</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GST reforms have reduced tax rates on affordable housing, construction materials and related inputs, lowering construction costs nationally and supporting continued commercial and residential development activity.</w:t>
      </w:r>
    </w:p>
    <w:p>
      <w:pPr>
        <w:pStyle w:val="ListParagraph"/>
        <w:numPr>
          <w:ilvl w:val="0"/>
          <w:numId w:val="2"/>
        </w:numPr>
        <w:spacing w:after="80"/>
      </w:pPr>
      <w:r>
        <w:rPr>
          <w:b w:val="false"/>
          <w:bCs w:val="false"/>
        </w:rPr>
        <w:t xml:space="preserve">India's urbanisation is projected to rise to ~40% by 2035 and ~50% by 2047, a structural driver expected to sustain demand for both residential and commercial real estate over the coming decades.</w:t>
      </w:r>
    </w:p>
    <w:p>
      <w:pPr>
        <w:pStyle w:val="ListParagraph"/>
        <w:numPr>
          <w:ilvl w:val="0"/>
          <w:numId w:val="2"/>
        </w:numPr>
        <w:spacing w:after="80"/>
      </w:pPr>
      <w:r>
        <w:rPr>
          <w:b w:val="false"/>
          <w:bCs w:val="false"/>
        </w:rPr>
        <w:t xml:space="preserve">Large-format joint-development-agreement projects — such as Brigade's Chennai launch — continue to be a preferred structure for developers scaling residential and mixed-use commercial pipelines nationally.</w:t>
      </w:r>
    </w:p>
    <w:p>
      <w:pPr>
        <w:spacing w:after="150"/>
      </w:pPr>
      <w:r>
        <w:rPr>
          <w:i/>
          <w:iCs/>
          <w:color w:val="595959"/>
          <w:sz w:val="18"/>
          <w:szCs w:val="18"/>
        </w:rPr>
        <w:t xml:space="preserve">Sources: Home Pravesh; DD News; Business Standard.</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Union Home Minister Amit Shah has reiterated that RERA has structurally reformed India's real estate sector, enhancing transparency, improving construction quality and strengthening homebuyer protection mechanisms nationally.</w:t>
      </w:r>
    </w:p>
    <w:p>
      <w:pPr>
        <w:pStyle w:val="ListParagraph"/>
        <w:numPr>
          <w:ilvl w:val="0"/>
          <w:numId w:val="2"/>
        </w:numPr>
        <w:spacing w:after="80"/>
      </w:pPr>
      <w:r>
        <w:rPr>
          <w:b w:val="false"/>
          <w:bCs w:val="false"/>
        </w:rPr>
        <w:t xml:space="preserve">The ₹60,000 crore National Urban Housing Fund and 100% automatic-route FDI in real estate are being cited as key government measures reinforcing the sector's growth trajectory.</w:t>
      </w:r>
    </w:p>
    <w:p>
      <w:pPr>
        <w:pStyle w:val="ListParagraph"/>
        <w:numPr>
          <w:ilvl w:val="0"/>
          <w:numId w:val="2"/>
        </w:numPr>
        <w:spacing w:after="80"/>
      </w:pPr>
      <w:r>
        <w:rPr>
          <w:b w:val="false"/>
          <w:bCs w:val="false"/>
        </w:rPr>
        <w:t xml:space="preserve">CREDAI continues to be called upon to prioritise affordable and sustainable housing formats as India's urbanisation accelerates toward government targets for 2035 and 2047.</w:t>
      </w:r>
    </w:p>
    <w:p>
      <w:pPr>
        <w:spacing w:after="150"/>
      </w:pPr>
      <w:r>
        <w:rPr>
          <w:i/>
          <w:iCs/>
          <w:color w:val="595959"/>
          <w:sz w:val="18"/>
          <w:szCs w:val="18"/>
        </w:rPr>
        <w:t xml:space="preserve">Sources: Home Pravesh; DD News; ddnews.gov.in.</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2026-07-30T03:40:50.572Z</dcterms:created>
  <dcterms:modified xsi:type="dcterms:W3CDTF">2026-07-30T03:40:50.757Z</dcterms:modified>
</cp:coreProperties>
</file>

<file path=docProps/custom.xml><?xml version="1.0" encoding="utf-8"?>
<Properties xmlns="http://schemas.openxmlformats.org/officeDocument/2006/custom-properties" xmlns:vt="http://schemas.openxmlformats.org/officeDocument/2006/docPropsVTypes"/>
</file>