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1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Housing demand near Bengaluru's metro-station zones rose 19% in 2026, with Electronic City up 12%, Bommanahalli up 8% and Jayanagar up 11% — growth directly attributed to metro proximity.</w:t>
      </w:r>
    </w:p>
    <w:p>
      <w:pPr>
        <w:pStyle w:val="ListParagraph"/>
        <w:numPr>
          <w:ilvl w:val="0"/>
          <w:numId w:val="2"/>
        </w:numPr>
        <w:spacing w:after="80"/>
      </w:pPr>
      <w:r>
        <w:rPr>
          <w:b w:val="false"/>
          <w:bCs w:val="false"/>
        </w:rPr>
        <w:t xml:space="preserve">North Bengaluru continues to emerge as the city's most influential growth zone, with its proximity to the airport, expanding employment clusters and large-scale infrastructure investment reinforcing buyer and investor confidence.</w:t>
      </w:r>
    </w:p>
    <w:p>
      <w:pPr>
        <w:pStyle w:val="ListParagraph"/>
        <w:numPr>
          <w:ilvl w:val="0"/>
          <w:numId w:val="2"/>
        </w:numPr>
        <w:spacing w:after="80"/>
      </w:pPr>
      <w:r>
        <w:rPr>
          <w:b w:val="false"/>
          <w:bCs w:val="false"/>
        </w:rPr>
        <w:t xml:space="preserve">Bengaluru's residential market is projected to grow 5% annually, placing it as the second-best-performing market among 24 cities tracked nationally.</w:t>
      </w:r>
    </w:p>
    <w:p>
      <w:pPr>
        <w:spacing w:after="150"/>
      </w:pPr>
      <w:r>
        <w:rPr>
          <w:i/>
          <w:iCs/>
          <w:color w:val="595959"/>
          <w:sz w:val="18"/>
          <w:szCs w:val="18"/>
        </w:rPr>
        <w:t xml:space="preserve">Sources: Modern Spaaces (metro-zone demand growth by locality); Banking Inputs/NoBroker (North Bengaluru growth zone, citywide 5% annual growth ranking).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Peripheral Ring Road (PRR), with construction likely beginning in 2026, is viewed as Bengaluru's most significant long-term infrastructure project for outer-ring residential and commercial development.</w:t>
      </w:r>
    </w:p>
    <w:p>
      <w:pPr>
        <w:pStyle w:val="ListParagraph"/>
        <w:numPr>
          <w:ilvl w:val="0"/>
          <w:numId w:val="2"/>
        </w:numPr>
        <w:spacing w:after="80"/>
      </w:pPr>
      <w:r>
        <w:rPr>
          <w:b w:val="false"/>
          <w:bCs w:val="false"/>
        </w:rPr>
        <w:t xml:space="preserve">The Bangalore Suburban Rail Project is expected to further reshape suburban demand patterns from 2027 onward, adding a second major rail-based catalyst alongside the PRR.</w:t>
      </w:r>
    </w:p>
    <w:p>
      <w:pPr>
        <w:pStyle w:val="ListParagraph"/>
        <w:numPr>
          <w:ilvl w:val="0"/>
          <w:numId w:val="2"/>
        </w:numPr>
        <w:spacing w:after="80"/>
      </w:pPr>
      <w:r>
        <w:rPr>
          <w:b w:val="false"/>
          <w:bCs w:val="false"/>
        </w:rPr>
        <w:t xml:space="preserve">Century Real Estate aims to unlock ₹14,000 crore in Gross Development Value over the next five years, with fresh funding supporting both ongoing and upcoming residential and commercial projects.</w:t>
      </w:r>
    </w:p>
    <w:p>
      <w:pPr>
        <w:spacing w:after="150"/>
      </w:pPr>
      <w:r>
        <w:rPr>
          <w:i/>
          <w:iCs/>
          <w:color w:val="595959"/>
          <w:sz w:val="18"/>
          <w:szCs w:val="18"/>
        </w:rPr>
        <w:t xml:space="preserve">Sources: Modern Spaaces (PRR, Suburban Rail Project); Business Standard (Century Real Estate GDV target).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Karnataka has told the Supreme Court that it has adopted the Centre's prescribed model Agreement for Sale format under RERA, standardising builder-buyer contracts and reducing scope for exploitative clauses.</w:t>
      </w:r>
    </w:p>
    <w:p>
      <w:pPr>
        <w:pStyle w:val="ListParagraph"/>
        <w:numPr>
          <w:ilvl w:val="0"/>
          <w:numId w:val="2"/>
        </w:numPr>
        <w:spacing w:after="80"/>
      </w:pPr>
      <w:r>
        <w:rPr>
          <w:b w:val="false"/>
          <w:bCs w:val="false"/>
        </w:rPr>
        <w:t xml:space="preserve">Under K-RERA rules, a builder cannot collect more than 10% of a unit's cost before signing a registered Agreement for Sale, and must deposit 70% of funds collected from allottees into a dedicated account reserved for construction and land costs.</w:t>
      </w:r>
    </w:p>
    <w:p>
      <w:pPr>
        <w:pStyle w:val="ListParagraph"/>
        <w:numPr>
          <w:ilvl w:val="0"/>
          <w:numId w:val="2"/>
        </w:numPr>
        <w:spacing w:after="80"/>
      </w:pPr>
      <w:r>
        <w:rPr>
          <w:b w:val="false"/>
          <w:bCs w:val="false"/>
        </w:rPr>
        <w:t xml:space="preserve">CREDAI Karnataka is likely to view the standardised Agreement for Sale format as a further step toward reducing contractual ambiguity and litigation risk across the state's residential project pipeline.</w:t>
      </w:r>
    </w:p>
    <w:p>
      <w:pPr>
        <w:spacing w:after="150"/>
      </w:pPr>
      <w:r>
        <w:rPr>
          <w:i/>
          <w:iCs/>
          <w:color w:val="595959"/>
          <w:sz w:val="18"/>
          <w:szCs w:val="18"/>
        </w:rPr>
        <w:t xml:space="preserve">Sources: MACJ-ABuyersChoice (Karnataka Supreme Court submission on model agreement); PropNewz/OneCityProperty (10% rule, 70% escrow deposit requirement).</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residential sales surged 33% YoY to 6,092 units in Q1 2026, while Bengaluru grew 16% to 23,816 units, even as Hyderabad posted the sharpest single-quarter crash nationally — a 46% YoY decline to just 9,700 units.</w:t>
      </w:r>
    </w:p>
    <w:p>
      <w:pPr>
        <w:pStyle w:val="ListParagraph"/>
        <w:numPr>
          <w:ilvl w:val="0"/>
          <w:numId w:val="2"/>
        </w:numPr>
        <w:spacing w:after="80"/>
      </w:pPr>
      <w:r>
        <w:rPr>
          <w:b w:val="false"/>
          <w:bCs w:val="false"/>
        </w:rPr>
        <w:t xml:space="preserve">Dussehra 2026 is expected to bring a wave of positivity to the real estate sector, traditionally an auspicious period for home-buying, with developers timing fresh launches around the festival alongside exclusive deals and flexible payment plans.</w:t>
      </w:r>
    </w:p>
    <w:p>
      <w:pPr>
        <w:pStyle w:val="ListParagraph"/>
        <w:numPr>
          <w:ilvl w:val="0"/>
          <w:numId w:val="2"/>
        </w:numPr>
        <w:spacing w:after="80"/>
      </w:pPr>
      <w:r>
        <w:rPr>
          <w:b w:val="false"/>
          <w:bCs w:val="false"/>
        </w:rPr>
        <w:t xml:space="preserve">The festive period is likely to see a higher share of NRI transactions in metro cities including Bengaluru and Hyderabad, where luxury housing and rental yields remain attractive.</w:t>
      </w:r>
    </w:p>
    <w:p>
      <w:pPr>
        <w:spacing w:after="150"/>
      </w:pPr>
      <w:r>
        <w:rPr>
          <w:i/>
          <w:iCs/>
          <w:color w:val="595959"/>
          <w:sz w:val="18"/>
          <w:szCs w:val="18"/>
        </w:rPr>
        <w:t xml:space="preserve">Sources: The Week (Q1 2026 Chennai/Bengaluru/Hyderabad sales data); R Square Reality/Beegru (Dussehra 2026 real estate outlook, NRI transaction trends).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IREC 2026 — the International Real Estate Conference — was inaugurated in Hyderabad on 25 September, marking the first time India has hosted the global event, bringing together more than 2,000 industry leaders from over 35 countries at the HITEX Exhibition Centre.</w:t>
      </w:r>
    </w:p>
    <w:p>
      <w:pPr>
        <w:pStyle w:val="ListParagraph"/>
        <w:numPr>
          <w:ilvl w:val="0"/>
          <w:numId w:val="2"/>
        </w:numPr>
        <w:spacing w:after="80"/>
      </w:pPr>
      <w:r>
        <w:rPr>
          <w:b w:val="false"/>
          <w:bCs w:val="false"/>
        </w:rPr>
        <w:t xml:space="preserve">The three-day conference, running through 27 September under the theme "The Door to What Happens Next," spans three platforms — the Strategic Conference, Innovation Showcase and Luxury Property Expo — with 75-plus speakers and over 100 exhibitors.</w:t>
      </w:r>
    </w:p>
    <w:p>
      <w:pPr>
        <w:pStyle w:val="ListParagraph"/>
        <w:numPr>
          <w:ilvl w:val="0"/>
          <w:numId w:val="2"/>
        </w:numPr>
        <w:spacing w:after="80"/>
      </w:pPr>
      <w:r>
        <w:rPr>
          <w:b w:val="false"/>
          <w:bCs w:val="false"/>
        </w:rPr>
        <w:t xml:space="preserve">IREC 2026's Innovation Showcase featured more than 100 technology companies focused on AI, data intelligence, smart infrastructure and digital platforms, reinforcing Hyderabad's positioning as a hub for PropTech and global real estate dialogue.</w:t>
      </w:r>
    </w:p>
    <w:p>
      <w:pPr>
        <w:spacing w:after="150"/>
      </w:pPr>
      <w:r>
        <w:rPr>
          <w:i/>
          <w:iCs/>
          <w:color w:val="595959"/>
          <w:sz w:val="18"/>
          <w:szCs w:val="18"/>
        </w:rPr>
        <w:t xml:space="preserve">Sources: ANI/The Tribune (IREC 2026 inauguration, scale); IREC India/PropEnu (conference structure, Innovation Showcase).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and the Hyderabad Realtors Association, which co-hosted IREC 2026, are likely to leverage the conference's global exposure to attract fresh cross-border investment into the city's real estate sector.</w:t>
      </w:r>
    </w:p>
    <w:p>
      <w:pPr>
        <w:pStyle w:val="ListParagraph"/>
        <w:numPr>
          <w:ilvl w:val="0"/>
          <w:numId w:val="2"/>
        </w:numPr>
        <w:spacing w:after="80"/>
      </w:pPr>
      <w:r>
        <w:rPr>
          <w:b w:val="false"/>
          <w:bCs w:val="false"/>
        </w:rPr>
        <w:t xml:space="preserve">Hyderabad's sharp Q1 2026 sales decline (-46% YoY) is likely to keep CREDAI Telangana focused on demand-revival measures even as the city hosts marquee international real estate events.</w:t>
      </w:r>
    </w:p>
    <w:p>
      <w:pPr>
        <w:pStyle w:val="ListParagraph"/>
        <w:numPr>
          <w:ilvl w:val="0"/>
          <w:numId w:val="2"/>
        </w:numPr>
        <w:spacing w:after="80"/>
      </w:pPr>
      <w:r>
        <w:rPr>
          <w:b w:val="false"/>
          <w:bCs w:val="false"/>
        </w:rPr>
        <w:t xml:space="preserve">CREDAI Tamil Nadu is expected to continue citing Chennai's 33% YoY Q1 2026 sales surge as evidence of sustained momentum heading into the festive season.</w:t>
      </w:r>
    </w:p>
    <w:p>
      <w:pPr>
        <w:spacing w:after="150"/>
      </w:pPr>
      <w:r>
        <w:rPr>
          <w:i/>
          <w:iCs/>
          <w:color w:val="595959"/>
          <w:sz w:val="18"/>
          <w:szCs w:val="18"/>
        </w:rPr>
        <w:t xml:space="preserve">Sources: ANI/The Tribune; The Week.</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New residential launches nationally are expected to exceed 300,000 units in 2026, with rising incomes and increased NRI participation fuelling demand for premium homes, and weighted average residential prices expected to see gradual upward movement through the year.</w:t>
      </w:r>
    </w:p>
    <w:p>
      <w:pPr>
        <w:pStyle w:val="ListParagraph"/>
        <w:numPr>
          <w:ilvl w:val="0"/>
          <w:numId w:val="2"/>
        </w:numPr>
        <w:spacing w:after="80"/>
      </w:pPr>
      <w:r>
        <w:rPr>
          <w:b w:val="false"/>
          <w:bCs w:val="false"/>
        </w:rPr>
        <w:t xml:space="preserve">Following more than 100 basis points of RBI rate cuts delivered in 2025, mid-segment homebuyers are expected to be back in action through 2026, supporting broader demand recovery.</w:t>
      </w:r>
    </w:p>
    <w:p>
      <w:pPr>
        <w:pStyle w:val="ListParagraph"/>
        <w:numPr>
          <w:ilvl w:val="0"/>
          <w:numId w:val="2"/>
        </w:numPr>
        <w:spacing w:after="80"/>
      </w:pPr>
      <w:r>
        <w:rPr>
          <w:b w:val="false"/>
          <w:bCs w:val="false"/>
        </w:rPr>
        <w:t xml:space="preserve">Dussehra 2026 is expected to drive a seasonal surge in home-buying activity nationally, with the festival traditionally regarded as an auspicious time for major life decisions including property purchases.</w:t>
      </w:r>
    </w:p>
    <w:p>
      <w:pPr>
        <w:spacing w:after="150"/>
      </w:pPr>
      <w:r>
        <w:rPr>
          <w:i/>
          <w:iCs/>
          <w:color w:val="595959"/>
          <w:sz w:val="18"/>
          <w:szCs w:val="18"/>
        </w:rPr>
        <w:t xml:space="preserve">Sources: Cushman &amp; Wakefield (2026 launch and pricing outlook, RBI rate-cut impact); R Square Reality (Dussehra 2026 national demand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logistics and industrial leasing activity is set to exceed 50 million sq ft in 2026 for the fourth consecutive year, driven by 3PL, e-commerce and manufacturing demand, with rentals expected to rise 5-7% across major markets.</w:t>
      </w:r>
    </w:p>
    <w:p>
      <w:pPr>
        <w:pStyle w:val="ListParagraph"/>
        <w:numPr>
          <w:ilvl w:val="0"/>
          <w:numId w:val="2"/>
        </w:numPr>
        <w:spacing w:after="80"/>
      </w:pPr>
      <w:r>
        <w:rPr>
          <w:b w:val="false"/>
          <w:bCs w:val="false"/>
        </w:rPr>
        <w:t xml:space="preserve">Annual office-space demand nationally is anticipated to stabilise around 70-75 million sq ft in 2026 and beyond, while 5.9 million sq ft of new Grade-A mall space is expected this year, with fashion, F&amp;B and entertainment dominating retail leasing.</w:t>
      </w:r>
    </w:p>
    <w:p>
      <w:pPr>
        <w:pStyle w:val="ListParagraph"/>
        <w:numPr>
          <w:ilvl w:val="0"/>
          <w:numId w:val="2"/>
        </w:numPr>
        <w:spacing w:after="80"/>
      </w:pPr>
      <w:r>
        <w:rPr>
          <w:b w:val="false"/>
          <w:bCs w:val="false"/>
        </w:rPr>
        <w:t xml:space="preserve">IREC 2026's Hyderabad debut signals growing international investor interest in India's real estate sector, reinforcing the national push toward cross-border capital inflows and PropTech adoption.</w:t>
      </w:r>
    </w:p>
    <w:p>
      <w:pPr>
        <w:spacing w:after="150"/>
      </w:pPr>
      <w:r>
        <w:rPr>
          <w:i/>
          <w:iCs/>
          <w:color w:val="595959"/>
          <w:sz w:val="18"/>
          <w:szCs w:val="18"/>
        </w:rPr>
        <w:t xml:space="preserve">Sources: Colliers/Cushman &amp; Wakefield (logistics, office and retail leasing outlook for 2026); ANI/The Tribune (IREC 2026 significance).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the RBI rate-cut legacy and resulting mid-segment homebuyer revival as a positive signal heading into the festive season nationally.</w:t>
      </w:r>
    </w:p>
    <w:p>
      <w:pPr>
        <w:pStyle w:val="ListParagraph"/>
        <w:numPr>
          <w:ilvl w:val="0"/>
          <w:numId w:val="2"/>
        </w:numPr>
        <w:spacing w:after="80"/>
      </w:pPr>
      <w:r>
        <w:rPr>
          <w:b w:val="false"/>
          <w:bCs w:val="false"/>
        </w:rPr>
        <w:t xml:space="preserve">IREC 2026's first-ever India hosting is expected to be viewed by CREDAI and NAREDCO as a milestone for the sector's global visibility and cross-border investment ambitions.</w:t>
      </w:r>
    </w:p>
    <w:p>
      <w:pPr>
        <w:pStyle w:val="ListParagraph"/>
        <w:numPr>
          <w:ilvl w:val="0"/>
          <w:numId w:val="2"/>
        </w:numPr>
        <w:spacing w:after="80"/>
      </w:pPr>
      <w:r>
        <w:rPr>
          <w:b w:val="false"/>
          <w:bCs w:val="false"/>
        </w:rPr>
        <w:t xml:space="preserve">Continued growth across logistics, office and retail leasing segments nationally reinforces CREDAI and NAREDCO's case for sustained institutional and policy support across all real estate asset classes.</w:t>
      </w:r>
    </w:p>
    <w:p>
      <w:pPr>
        <w:spacing w:after="150"/>
      </w:pPr>
      <w:r>
        <w:rPr>
          <w:i/>
          <w:iCs/>
          <w:color w:val="595959"/>
          <w:sz w:val="18"/>
          <w:szCs w:val="18"/>
        </w:rPr>
        <w:t xml:space="preserve">Sources: Cushman &amp; Wakefield; ANI/The Tribune; Colliers.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2026-10-01T03:37:35.545Z</dcterms:created>
  <dcterms:modified xsi:type="dcterms:W3CDTF">2026-10-01T03:37:35.557Z</dcterms:modified>
</cp:coreProperties>
</file>

<file path=docProps/custom.xml><?xml version="1.0" encoding="utf-8"?>
<Properties xmlns="http://schemas.openxmlformats.org/officeDocument/2006/custom-properties" xmlns:vt="http://schemas.openxmlformats.org/officeDocument/2006/docPropsVTypes"/>
</file>