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3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housing sales rose 18% YoY to 13,124 units in the July–September period, up from 11,160 units a year earlier, with buyers showing a marked shift toward larger homes even as the broader market normalises from earlier peaks.</w:t>
      </w:r>
    </w:p>
    <w:p>
      <w:pPr>
        <w:pStyle w:val="ListParagraph"/>
        <w:numPr>
          <w:ilvl w:val="0"/>
          <w:numId w:val="2"/>
        </w:numPr>
        <w:spacing w:after="80"/>
      </w:pPr>
      <w:r>
        <w:rPr>
          <w:b w:val="false"/>
          <w:bCs w:val="false"/>
        </w:rPr>
        <w:t xml:space="preserve">Sanjeevini Group is targeting an estimated ₹1,200 crore in revenue from its new luxury project "The Adwaith" at Gunjur in Bengaluru East — an 8.3-acre, 668-unit development reflecting continued confidence in the city's premium residential segment.</w:t>
      </w:r>
    </w:p>
    <w:p>
      <w:pPr>
        <w:pStyle w:val="ListParagraph"/>
        <w:numPr>
          <w:ilvl w:val="0"/>
          <w:numId w:val="2"/>
        </w:numPr>
        <w:spacing w:after="80"/>
      </w:pPr>
      <w:r>
        <w:rPr>
          <w:b w:val="false"/>
          <w:bCs w:val="false"/>
        </w:rPr>
        <w:t xml:space="preserve">A Magicbricks–IIM Bangalore survey found homebuyers across 9 of 10 major Indian cities, including Bengaluru, expect residential prices to rise further over the next six months, even as national average property rates already stand at ₹14,633 per sq ft, up 14.1% YoY.</w:t>
      </w:r>
    </w:p>
    <w:p>
      <w:pPr>
        <w:spacing w:after="150"/>
      </w:pPr>
      <w:r>
        <w:rPr>
          <w:i/>
          <w:iCs/>
          <w:color w:val="595959"/>
          <w:sz w:val="18"/>
          <w:szCs w:val="18"/>
        </w:rPr>
        <w:t xml:space="preserve">Sources: Business Standard (Bengaluru Q3 sales, Sanjeevini Group Gunjur launch); Magicbricks/IIM Bangalore survey via ConstructionWorld (homebuyer price expectations, national average rate).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accounted for a record 70% share of Bengaluru's gross office leasing in Q1 2026 — the strongest in two years — reaffirming the city's position as the top destination for global firms setting up strategic hubs in India.</w:t>
      </w:r>
    </w:p>
    <w:p>
      <w:pPr>
        <w:pStyle w:val="ListParagraph"/>
        <w:numPr>
          <w:ilvl w:val="0"/>
          <w:numId w:val="2"/>
        </w:numPr>
        <w:spacing w:after="80"/>
      </w:pPr>
      <w:r>
        <w:rPr>
          <w:b w:val="false"/>
          <w:bCs w:val="false"/>
        </w:rPr>
        <w:t xml:space="preserve">Bengaluru commands a 34–39% share of India's total GCC footprint through more than 900 GCC units citywide, setting the national benchmark even as Hyderabad and Chennai continue to build out competing specialisations.</w:t>
      </w:r>
    </w:p>
    <w:p>
      <w:pPr>
        <w:pStyle w:val="ListParagraph"/>
        <w:numPr>
          <w:ilvl w:val="0"/>
          <w:numId w:val="2"/>
        </w:numPr>
        <w:spacing w:after="80"/>
      </w:pPr>
      <w:r>
        <w:rPr>
          <w:b w:val="false"/>
          <w:bCs w:val="false"/>
        </w:rPr>
        <w:t xml:space="preserve">Sustained large-format Grade-A office absorption driven by GCCs continues to anchor ancillary retail and residential demand across Bengaluru's established IT corridors.</w:t>
      </w:r>
    </w:p>
    <w:p>
      <w:pPr>
        <w:spacing w:after="150"/>
      </w:pPr>
      <w:r>
        <w:rPr>
          <w:i/>
          <w:iCs/>
          <w:color w:val="595959"/>
          <w:sz w:val="18"/>
          <w:szCs w:val="18"/>
        </w:rPr>
        <w:t xml:space="preserve">Sources: JLL/Colliers via respective 2026 GCC reports (Bengaluru Q1 2026 GCC leasing share, national GCC footprint).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Karnataka's network of 11 active city chapters and over 590 developer members continues to expand its compliance and registration oversight statewide, even as Bengaluru posts an 18% YoY rise in quarterly home sales.</w:t>
      </w:r>
    </w:p>
    <w:p>
      <w:pPr>
        <w:pStyle w:val="ListParagraph"/>
        <w:numPr>
          <w:ilvl w:val="0"/>
          <w:numId w:val="2"/>
        </w:numPr>
        <w:spacing w:after="80"/>
      </w:pPr>
      <w:r>
        <w:rPr>
          <w:b w:val="false"/>
          <w:bCs w:val="false"/>
        </w:rPr>
        <w:t xml:space="preserve">The state's continued GCC-led office leasing strength (70% share in Q1 2026) is reinforcing CREDAI Karnataka's case for faster approval and infrastructure support in established IT corridors feeding residential demand.</w:t>
      </w:r>
    </w:p>
    <w:p>
      <w:pPr>
        <w:pStyle w:val="ListParagraph"/>
        <w:numPr>
          <w:ilvl w:val="0"/>
          <w:numId w:val="2"/>
        </w:numPr>
        <w:spacing w:after="80"/>
      </w:pPr>
      <w:r>
        <w:rPr>
          <w:b w:val="false"/>
          <w:bCs w:val="false"/>
        </w:rPr>
        <w:t xml:space="preserve">With national homebuyer sentiment tilted toward further price increases over the next six months, Karnataka's regulatory and industry bodies are likely to face continued scrutiny on transparent, RERA-compliant pricing disclosures.</w:t>
      </w:r>
    </w:p>
    <w:p>
      <w:pPr>
        <w:spacing w:after="150"/>
      </w:pPr>
      <w:r>
        <w:rPr>
          <w:i/>
          <w:iCs/>
          <w:color w:val="595959"/>
          <w:sz w:val="18"/>
          <w:szCs w:val="18"/>
        </w:rPr>
        <w:t xml:space="preserve">Sources: CREDAI Karnataka (chapter and membership data); Business Standard; Magicbricks/IIM Bangalore survey via ConstructionWorld.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sold over 26,100 homes in H1 2026, absorbing roughly 60 million sq ft, with CREDAI Hyderabad's president-elect B. Jagannath Rao citing continued demand for larger homes and infrastructure-led momentum as key drivers of the city's resilient market.</w:t>
      </w:r>
    </w:p>
    <w:p>
      <w:pPr>
        <w:pStyle w:val="ListParagraph"/>
        <w:numPr>
          <w:ilvl w:val="0"/>
          <w:numId w:val="2"/>
        </w:numPr>
        <w:spacing w:after="80"/>
      </w:pPr>
      <w:r>
        <w:rPr>
          <w:b w:val="false"/>
          <w:bCs w:val="false"/>
        </w:rPr>
        <w:t xml:space="preserve">Visakhapatnam's residential market is projected to grow 6–10% in 2026, propelled by large infrastructure catalysts including a Google data centre, Cognizant's expansion, and the upcoming Alluri Sitarama Raju International Airport at Bhogapuram; nearby appreciation is running 8–15% annually.</w:t>
      </w:r>
    </w:p>
    <w:p>
      <w:pPr>
        <w:pStyle w:val="ListParagraph"/>
        <w:numPr>
          <w:ilvl w:val="0"/>
          <w:numId w:val="2"/>
        </w:numPr>
        <w:spacing w:after="80"/>
      </w:pPr>
      <w:r>
        <w:rPr>
          <w:b w:val="false"/>
          <w:bCs w:val="false"/>
        </w:rPr>
        <w:t xml:space="preserve">Land prices along Vizag's IT Hills–Madhurawada–Rushikonda corridor have climbed 30–50%, with North Vizag micro-markets — Madhurawada, Kommadi, Paradesipalem, Boyapalem and Anandapuram — emerging as prime residential investment destinations.</w:t>
      </w:r>
    </w:p>
    <w:p>
      <w:pPr>
        <w:spacing w:after="150"/>
      </w:pPr>
      <w:r>
        <w:rPr>
          <w:i/>
          <w:iCs/>
          <w:color w:val="595959"/>
          <w:sz w:val="18"/>
          <w:szCs w:val="18"/>
        </w:rPr>
        <w:t xml:space="preserve">Sources: Deccan Chronicle (Hyderabad H1 2026 sales, CREDAI Hyderabad); RP Realty Plus/The Week (Visakhapatnam 2026 growth outlook, land-price appreciation).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GCC office leasing has grown more than 4x in 2025 compared with 2021 levels, with the city increasingly attracting occupiers from the Engineering &amp; Manufacturing domain alongside its established IT-BPM base.</w:t>
      </w:r>
    </w:p>
    <w:p>
      <w:pPr>
        <w:pStyle w:val="ListParagraph"/>
        <w:numPr>
          <w:ilvl w:val="0"/>
          <w:numId w:val="2"/>
        </w:numPr>
        <w:spacing w:after="80"/>
      </w:pPr>
      <w:r>
        <w:rPr>
          <w:b w:val="false"/>
          <w:bCs w:val="false"/>
        </w:rPr>
        <w:t xml:space="preserve">Visakhapatnam's tech-driven real estate surge — anchored by Google and Cognizant's investment announcements — is triggering fresh commercial and residential activity across the city's IT zones and adjoining North Vizag districts.</w:t>
      </w:r>
    </w:p>
    <w:p>
      <w:pPr>
        <w:pStyle w:val="ListParagraph"/>
        <w:numPr>
          <w:ilvl w:val="0"/>
          <w:numId w:val="2"/>
        </w:numPr>
        <w:spacing w:after="80"/>
      </w:pPr>
      <w:r>
        <w:rPr>
          <w:b w:val="false"/>
          <w:bCs w:val="false"/>
        </w:rPr>
        <w:t xml:space="preserve">Hyderabad's H1 2026 absorption of 60 million sq ft across residential formats reflects the city's sustained infrastructure-backed growth even as it navigates the broader national moderation in launch-to-sales ratios.</w:t>
      </w:r>
    </w:p>
    <w:p>
      <w:pPr>
        <w:spacing w:after="150"/>
      </w:pPr>
      <w:r>
        <w:rPr>
          <w:i/>
          <w:iCs/>
          <w:color w:val="595959"/>
          <w:sz w:val="18"/>
          <w:szCs w:val="18"/>
        </w:rPr>
        <w:t xml:space="preserve">Sources: Colliers/JLL via GCC 2026 reports (Chennai GCC leasing growth); The Week/Santiam Estates (Visakhapatnam tech-driven surge); Deccan Chronicle.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 continues to point to the city's H1 2026 sales resilience (26,100+ homes, 60 million sq ft absorbed) as evidence that Telangana's real estate sector remains fundamentally strong despite periodic regulatory disruptions.</w:t>
      </w:r>
    </w:p>
    <w:p>
      <w:pPr>
        <w:pStyle w:val="ListParagraph"/>
        <w:numPr>
          <w:ilvl w:val="0"/>
          <w:numId w:val="2"/>
        </w:numPr>
        <w:spacing w:after="80"/>
      </w:pPr>
      <w:r>
        <w:rPr>
          <w:b w:val="false"/>
          <w:bCs w:val="false"/>
        </w:rPr>
        <w:t xml:space="preserve">Andhra Pradesh's infrastructure-led surge in Visakhapatnam — spanning Bhogapuram airport development and major tech-sector investment — is expected to draw greater CREDAI AP chapter attention to registration and compliance as North Vizag's project pipeline accelerates.</w:t>
      </w:r>
    </w:p>
    <w:p>
      <w:pPr>
        <w:pStyle w:val="ListParagraph"/>
        <w:numPr>
          <w:ilvl w:val="0"/>
          <w:numId w:val="2"/>
        </w:numPr>
        <w:spacing w:after="80"/>
      </w:pPr>
      <w:r>
        <w:rPr>
          <w:b w:val="false"/>
          <w:bCs w:val="false"/>
        </w:rPr>
        <w:t xml:space="preserve">South India's continued GCC-driven commercial strength across Chennai, Hyderabad and Bengaluru reinforces regional CREDAI chapters' case for faster, infrastructure-linked project approvals and registrations.</w:t>
      </w:r>
    </w:p>
    <w:p>
      <w:pPr>
        <w:spacing w:after="150"/>
      </w:pPr>
      <w:r>
        <w:rPr>
          <w:i/>
          <w:iCs/>
          <w:color w:val="595959"/>
          <w:sz w:val="18"/>
          <w:szCs w:val="18"/>
        </w:rPr>
        <w:t xml:space="preserve">Sources: Deccan Chronicle; The Week/RP Realty Plus; Colliers/JLL GCC reports.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national average residential property rate has climbed to ₹14,633 per sq ft, up 14.1% YoY, as 2026 opened with strong new-supply growth running alongside continued price appreciation across major markets.</w:t>
      </w:r>
    </w:p>
    <w:p>
      <w:pPr>
        <w:pStyle w:val="ListParagraph"/>
        <w:numPr>
          <w:ilvl w:val="0"/>
          <w:numId w:val="2"/>
        </w:numPr>
        <w:spacing w:after="80"/>
      </w:pPr>
      <w:r>
        <w:rPr>
          <w:b w:val="false"/>
          <w:bCs w:val="false"/>
        </w:rPr>
        <w:t xml:space="preserve">A Magicbricks–IIM Bangalore survey found homebuyers across 9 of 10 major Indian cities expect residential prices to rise further over the next six months, reflecting continued confidence despite affordability concerns in several metros.</w:t>
      </w:r>
    </w:p>
    <w:p>
      <w:pPr>
        <w:pStyle w:val="ListParagraph"/>
        <w:numPr>
          <w:ilvl w:val="0"/>
          <w:numId w:val="2"/>
        </w:numPr>
        <w:spacing w:after="80"/>
      </w:pPr>
      <w:r>
        <w:rPr>
          <w:b w:val="false"/>
          <w:bCs w:val="false"/>
        </w:rPr>
        <w:t xml:space="preserve">Hyderabad, Bengaluru and Chennai together posted a 47% rise in residential sales during the July–September period to 38,644 units, even as demand growth moderates in several northern and western markets.</w:t>
      </w:r>
    </w:p>
    <w:p>
      <w:pPr>
        <w:spacing w:after="150"/>
      </w:pPr>
      <w:r>
        <w:rPr>
          <w:i/>
          <w:iCs/>
          <w:color w:val="595959"/>
          <w:sz w:val="18"/>
          <w:szCs w:val="18"/>
        </w:rPr>
        <w:t xml:space="preserve">Sources: ConstructionWorld (national average rate, supply growth); Magicbricks/IIM Bangalore survey; Business Standard (South India city sales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PropTech market, valued at roughly $1.3–1.7 billion in 2025, is projected to grow at a 12–19% CAGR to reach $3.8–6.0 billion by the early 2030s, with software platforms commanding about 72% of market share.</w:t>
      </w:r>
    </w:p>
    <w:p>
      <w:pPr>
        <w:pStyle w:val="ListParagraph"/>
        <w:numPr>
          <w:ilvl w:val="0"/>
          <w:numId w:val="2"/>
        </w:numPr>
        <w:spacing w:after="80"/>
      </w:pPr>
      <w:r>
        <w:rPr>
          <w:b w:val="false"/>
          <w:bCs w:val="false"/>
        </w:rPr>
        <w:t xml:space="preserve">Square Yards crossed ₹2,000 crore in FY26 revenue with a 3.7x jump in EBITDA, while domestic PropTech startups collectively raised over $550 million in venture capital across 32 major deals in 2025.</w:t>
      </w:r>
    </w:p>
    <w:p>
      <w:pPr>
        <w:pStyle w:val="ListParagraph"/>
        <w:numPr>
          <w:ilvl w:val="0"/>
          <w:numId w:val="2"/>
        </w:numPr>
        <w:spacing w:after="80"/>
      </w:pPr>
      <w:r>
        <w:rPr>
          <w:b w:val="false"/>
          <w:bCs w:val="false"/>
        </w:rPr>
        <w:t xml:space="preserve">The top five PropTech platforms — NoBroker, 99acres, MagicBricks, Housing.com and Square Yards — now hold an estimated 45–50% share of India's digital real estate market revenue, reshaping how RERA-registered projects reach buyers nationally.</w:t>
      </w:r>
    </w:p>
    <w:p>
      <w:pPr>
        <w:spacing w:after="150"/>
      </w:pPr>
      <w:r>
        <w:rPr>
          <w:i/>
          <w:iCs/>
          <w:color w:val="595959"/>
          <w:sz w:val="18"/>
          <w:szCs w:val="18"/>
        </w:rPr>
        <w:t xml:space="preserve">Sources: IMARC Group/MarkNtel Advisors (India PropTech market sizing); Global Risk Community/Outlook Money (Square Yards FY26 results, VC funding, market share).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rapid consolidation of digital PropTech platforms is prompting greater industry focus on standardised, RERA-linked project disclosures nationally, as more homebuyers now discover and shortlist RERA-registered projects primarily online.</w:t>
      </w:r>
    </w:p>
    <w:p>
      <w:pPr>
        <w:pStyle w:val="ListParagraph"/>
        <w:numPr>
          <w:ilvl w:val="0"/>
          <w:numId w:val="2"/>
        </w:numPr>
        <w:spacing w:after="80"/>
      </w:pPr>
      <w:r>
        <w:rPr>
          <w:b w:val="false"/>
          <w:bCs w:val="false"/>
        </w:rPr>
        <w:t xml:space="preserve">Bengaluru's record 70% GCC office-leasing share and Hyderabad's 60-million-sq-ft H1 2026 residential absorption both reinforce the case that India's employment-anchored metros remain the structural engine of the national real estate cycle.</w:t>
      </w:r>
    </w:p>
    <w:p>
      <w:pPr>
        <w:pStyle w:val="ListParagraph"/>
        <w:numPr>
          <w:ilvl w:val="0"/>
          <w:numId w:val="2"/>
        </w:numPr>
        <w:spacing w:after="80"/>
      </w:pPr>
      <w:r>
        <w:rPr>
          <w:b w:val="false"/>
          <w:bCs w:val="false"/>
        </w:rPr>
        <w:t xml:space="preserve">With homebuyer sentiment tilted toward further price increases across 9 of 10 major cities, developers and state RERAs alike face continued pressure to maintain transparent, verifiable pricing and project-status disclosures.</w:t>
      </w:r>
    </w:p>
    <w:p>
      <w:pPr>
        <w:spacing w:after="150"/>
      </w:pPr>
      <w:r>
        <w:rPr>
          <w:i/>
          <w:iCs/>
          <w:color w:val="595959"/>
          <w:sz w:val="18"/>
          <w:szCs w:val="18"/>
        </w:rPr>
        <w:t xml:space="preserve">Sources: IMARC Group/Global Risk Community; JLL/Colliers GCC reports; Magicbricks/IIM Bangalore survey.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2026-09-03T03:40:22.747Z</dcterms:created>
  <dcterms:modified xsi:type="dcterms:W3CDTF">2026-09-03T03:40:22.759Z</dcterms:modified>
</cp:coreProperties>
</file>

<file path=docProps/custom.xml><?xml version="1.0" encoding="utf-8"?>
<Properties xmlns="http://schemas.openxmlformats.org/officeDocument/2006/custom-properties" xmlns:vt="http://schemas.openxmlformats.org/officeDocument/2006/docPropsVTypes"/>
</file>