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16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Shriram Properties has signed a joint development agreement for a row-housing project in Yelahanka, North Bengaluru, with an estimated gross development value of roughly ₹600 crore, now targeted for an FY27 launch after slipping from an earlier H2-FY26 timeline.</w:t>
      </w:r>
    </w:p>
    <w:p>
      <w:pPr>
        <w:pStyle w:val="ListParagraph"/>
        <w:numPr>
          <w:ilvl w:val="0"/>
          <w:numId w:val="2"/>
        </w:numPr>
        <w:spacing w:after="80"/>
      </w:pPr>
      <w:r>
        <w:rPr>
          <w:b w:val="false"/>
          <w:bCs w:val="false"/>
        </w:rPr>
        <w:t xml:space="preserve">Godrej Properties is separately advancing a 10-acre Yelahanka development with around 800 units across nine towers, reported to be in pre-launch, alongside a further 8-acre Yelahanka township project with roughly 1,300 units starting from about ₹2.11 crore — figures from developer-marketing sources that warrant independent verification.</w:t>
      </w:r>
    </w:p>
    <w:p>
      <w:pPr>
        <w:pStyle w:val="ListParagraph"/>
        <w:numPr>
          <w:ilvl w:val="0"/>
          <w:numId w:val="2"/>
        </w:numPr>
        <w:spacing w:after="80"/>
      </w:pPr>
      <w:r>
        <w:rPr>
          <w:b w:val="false"/>
          <w:bCs w:val="false"/>
        </w:rPr>
        <w:t xml:space="preserve">The repeated slippage in both Shriram's and Godrej's Yelahanka timelines reflects a broader pattern of launch-date delays across North Bengaluru's large-format joint-development projects through 2026.</w:t>
      </w:r>
    </w:p>
    <w:p>
      <w:pPr>
        <w:spacing w:after="150"/>
      </w:pPr>
      <w:r>
        <w:rPr>
          <w:i/>
          <w:iCs/>
          <w:color w:val="595959"/>
          <w:sz w:val="18"/>
          <w:szCs w:val="18"/>
        </w:rPr>
        <w:t xml:space="preserve">Sources: Business Standard (Shriram Properties Yelahanka JDA, FY27 timeline); EPC World (Shriram Properties land acquisition, earlier H2-FY26 target); developer-marketing pages (Godrej Yelahanka project details, unverified).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Namma Metro's 7.5-km Pink Line elevated stretch between Kalena Agrahara and Tavarekere is construction-ready and awaiting the Centre's nod for inauguration, pending Railway Board approval for the rolling stock and a safety inspection by the Commissioner of Metro Rail Safety.</w:t>
      </w:r>
    </w:p>
    <w:p>
      <w:pPr>
        <w:pStyle w:val="ListParagraph"/>
        <w:numPr>
          <w:ilvl w:val="0"/>
          <w:numId w:val="2"/>
        </w:numPr>
        <w:spacing w:after="80"/>
      </w:pPr>
      <w:r>
        <w:rPr>
          <w:b w:val="false"/>
          <w:bCs w:val="false"/>
        </w:rPr>
        <w:t xml:space="preserve">The Pink Line's 13.76-km underground Dairy Circle-Nagavara section now carries conflicting timelines across reports — one citing December 2026, another mid-2027 — continuing the corridor's pattern of repeatedly shifting completion dates.</w:t>
      </w:r>
    </w:p>
    <w:p>
      <w:pPr>
        <w:pStyle w:val="ListParagraph"/>
        <w:numPr>
          <w:ilvl w:val="0"/>
          <w:numId w:val="2"/>
        </w:numPr>
        <w:spacing w:after="80"/>
      </w:pPr>
      <w:r>
        <w:rPr>
          <w:b w:val="false"/>
          <w:bCs w:val="false"/>
        </w:rPr>
        <w:t xml:space="preserve">Developers along the Pink Line corridor, including in Yelahanka and surrounding North Bengaluru micro-markets, continue to factor in the metro's uncertain opening date when sequencing new project launches.</w:t>
      </w:r>
    </w:p>
    <w:p>
      <w:pPr>
        <w:spacing w:after="150"/>
      </w:pPr>
      <w:r>
        <w:rPr>
          <w:i/>
          <w:iCs/>
          <w:color w:val="595959"/>
          <w:sz w:val="18"/>
          <w:szCs w:val="18"/>
        </w:rPr>
        <w:t xml:space="preserve">Sources: ETV Bharat (Pink Line elevated stretch readiness); Deccan Herald (underground section timeline divergence).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members are likely to watch closely how Shriram Properties' JDA-structured Yelahanka project is registered under K-RERA once it moves from agreement to formal filing, given the project's shift from an H2-FY26 to an FY27 launch target.</w:t>
      </w:r>
    </w:p>
    <w:p>
      <w:pPr>
        <w:pStyle w:val="ListParagraph"/>
        <w:numPr>
          <w:ilvl w:val="0"/>
          <w:numId w:val="2"/>
        </w:numPr>
        <w:spacing w:after="80"/>
      </w:pPr>
      <w:r>
        <w:rPr>
          <w:b w:val="false"/>
          <w:bCs w:val="false"/>
        </w:rPr>
        <w:t xml:space="preserve">The continued divergence between official and developer-marketing claims around Godrej's Yelahanka projects underscores the value of verifying unit counts, pricing and project status directly against K-RERA's registered-project portal before relying on promotional material.</w:t>
      </w:r>
    </w:p>
    <w:p>
      <w:pPr>
        <w:pStyle w:val="ListParagraph"/>
        <w:numPr>
          <w:ilvl w:val="0"/>
          <w:numId w:val="2"/>
        </w:numPr>
        <w:spacing w:after="80"/>
      </w:pPr>
      <w:r>
        <w:rPr>
          <w:b w:val="false"/>
          <w:bCs w:val="false"/>
        </w:rPr>
        <w:t xml:space="preserve">With the Pink Line's opening date still unresolved, CREDAI Karnataka members planning North Bengaluru launches are expected to continue treating connectivity-linked marketing claims cautiously until BMRCL confirms a firm inauguration date.</w:t>
      </w:r>
    </w:p>
    <w:p>
      <w:pPr>
        <w:spacing w:after="150"/>
      </w:pPr>
      <w:r>
        <w:rPr>
          <w:i/>
          <w:iCs/>
          <w:color w:val="595959"/>
          <w:sz w:val="18"/>
          <w:szCs w:val="18"/>
        </w:rPr>
        <w:t xml:space="preserve">Sources: Business Standard; EPC World; ETV Bharat; Deccan Herald.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TNRERA tightened layout registration norms across Tamil Nadu effective 1 October 2026, requiring more rigorous verification of infrastructure and land records before new projects can be registered.</w:t>
      </w:r>
    </w:p>
    <w:p>
      <w:pPr>
        <w:pStyle w:val="ListParagraph"/>
        <w:numPr>
          <w:ilvl w:val="0"/>
          <w:numId w:val="2"/>
        </w:numPr>
        <w:spacing w:after="80"/>
      </w:pPr>
      <w:r>
        <w:rPr>
          <w:b w:val="false"/>
          <w:bCs w:val="false"/>
        </w:rPr>
        <w:t xml:space="preserve">The Chennai Metropolitan Development Authority approved 17 high-rise residential projects within a month of a rule change, a sharp acceleration in approvals reported on 27 July 2026.</w:t>
      </w:r>
    </w:p>
    <w:p>
      <w:pPr>
        <w:pStyle w:val="ListParagraph"/>
        <w:numPr>
          <w:ilvl w:val="0"/>
          <w:numId w:val="2"/>
        </w:numPr>
        <w:spacing w:after="80"/>
      </w:pPr>
      <w:r>
        <w:rPr>
          <w:b w:val="false"/>
          <w:bCs w:val="false"/>
        </w:rPr>
        <w:t xml:space="preserve">CMDA extended self-certification eligibility to G+2 and stilt+3 residential buildings as of 28 August 2026, a change expected to meaningfully cut approval timelines for low- and mid-rise housing projects across the Chennai Metropolitan Area.</w:t>
      </w:r>
    </w:p>
    <w:p>
      <w:pPr>
        <w:spacing w:after="150"/>
      </w:pPr>
      <w:r>
        <w:rPr>
          <w:i/>
          <w:iCs/>
          <w:color w:val="595959"/>
          <w:sz w:val="18"/>
          <w:szCs w:val="18"/>
        </w:rPr>
        <w:t xml:space="preserve">Sources: Community.verified.realestate (TNRERA layout-norm tightening, CMDA high-rise approvals, self-certification extension — headline-level reporting, article text not independently confirmed).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emerged as one of the primary growth engines behind a 12% YoY rise in H1 2026 warehousing and logistics absorption across India's top eight cities, which reached roughly 22 million sq ft per Colliers, alongside Delhi-NCR.</w:t>
      </w:r>
    </w:p>
    <w:p>
      <w:pPr>
        <w:pStyle w:val="ListParagraph"/>
        <w:numPr>
          <w:ilvl w:val="0"/>
          <w:numId w:val="2"/>
        </w:numPr>
        <w:spacing w:after="80"/>
      </w:pPr>
      <w:r>
        <w:rPr>
          <w:b w:val="false"/>
          <w:bCs w:val="false"/>
        </w:rPr>
        <w:t xml:space="preserve">The Tamil Nadu government dropped its previously planned Kancheepuram New Town project, reported on 1 September 2026, removing one large-scale satellite-township initiative from the state's development pipeline.</w:t>
      </w:r>
    </w:p>
    <w:p>
      <w:pPr>
        <w:pStyle w:val="ListParagraph"/>
        <w:numPr>
          <w:ilvl w:val="0"/>
          <w:numId w:val="2"/>
        </w:numPr>
        <w:spacing w:after="80"/>
      </w:pPr>
      <w:r>
        <w:rPr>
          <w:b w:val="false"/>
          <w:bCs w:val="false"/>
        </w:rPr>
        <w:t xml:space="preserve">CMDA's faster high-rise approval pace and the self-certification extension together point to a broader push to accelerate project timelines across Chennai's residential and mixed-use development pipeline through late 2026.</w:t>
      </w:r>
    </w:p>
    <w:p>
      <w:pPr>
        <w:spacing w:after="150"/>
      </w:pPr>
      <w:r>
        <w:rPr>
          <w:i/>
          <w:iCs/>
          <w:color w:val="595959"/>
          <w:sz w:val="18"/>
          <w:szCs w:val="18"/>
        </w:rPr>
        <w:t xml:space="preserve">Sources: Colliers/RealtyHunting (H1 2026 warehousing absorption, Chennai-NCR growth engines); Community.verified.realestate (Kancheepuram New Town plan dropped).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welcome both CMDA's expedited high-rise approvals and the self-certification extension as steps that meaningfully reduce project-launch timelines across the Chennai Metropolitan Area.</w:t>
      </w:r>
    </w:p>
    <w:p>
      <w:pPr>
        <w:pStyle w:val="ListParagraph"/>
        <w:numPr>
          <w:ilvl w:val="0"/>
          <w:numId w:val="2"/>
        </w:numPr>
        <w:spacing w:after="80"/>
      </w:pPr>
      <w:r>
        <w:rPr>
          <w:b w:val="false"/>
          <w:bCs w:val="false"/>
        </w:rPr>
        <w:t xml:space="preserve">TNRERA's tightened layout registration norms, introduced alongside these faster approval pathways, suggest regulators are pairing speed with stricter upfront verification rather than loosening buyer-protection scrutiny.</w:t>
      </w:r>
    </w:p>
    <w:p>
      <w:pPr>
        <w:pStyle w:val="ListParagraph"/>
        <w:numPr>
          <w:ilvl w:val="0"/>
          <w:numId w:val="2"/>
        </w:numPr>
        <w:spacing w:after="80"/>
      </w:pPr>
      <w:r>
        <w:rPr>
          <w:b w:val="false"/>
          <w:bCs w:val="false"/>
        </w:rPr>
        <w:t xml:space="preserve">CREDAI Tamil Nadu members with land positions in the now-shelved Kancheepuram New Town zone are likely to reassess development plans following the state government's decision to drop the satellite-township initiative.</w:t>
      </w:r>
    </w:p>
    <w:p>
      <w:pPr>
        <w:spacing w:after="150"/>
      </w:pPr>
      <w:r>
        <w:rPr>
          <w:i/>
          <w:iCs/>
          <w:color w:val="595959"/>
          <w:sz w:val="18"/>
          <w:szCs w:val="18"/>
        </w:rPr>
        <w:t xml:space="preserve">Sources: Community.verified.realestate; Colliers/RealtyHunting.</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urban affordable-housing push under PMAY-U has crossed 1.25 crore sanctioned houses nationally as of August 2026, per Ministry of Housing and Urban Affairs data, with over 1 crore units already completed and delivered to beneficiaries.</w:t>
      </w:r>
    </w:p>
    <w:p>
      <w:pPr>
        <w:pStyle w:val="ListParagraph"/>
        <w:numPr>
          <w:ilvl w:val="0"/>
          <w:numId w:val="2"/>
        </w:numPr>
        <w:spacing w:after="80"/>
      </w:pPr>
      <w:r>
        <w:rPr>
          <w:b w:val="false"/>
          <w:bCs w:val="false"/>
        </w:rPr>
        <w:t xml:space="preserve">A PMAY-U 2.0 committee meeting on 6 August 2026 sanctioned more than 2.09 lakh additional houses, mainly for EWS families, comprising 14.40 lakh Beneficiary-Led Construction (BLC) units and 2.48 lakh under the Affordable Housing in Partnership (AHP) component.</w:t>
      </w:r>
    </w:p>
    <w:p>
      <w:pPr>
        <w:pStyle w:val="ListParagraph"/>
        <w:numPr>
          <w:ilvl w:val="0"/>
          <w:numId w:val="2"/>
        </w:numPr>
        <w:spacing w:after="80"/>
      </w:pPr>
      <w:r>
        <w:rPr>
          <w:b w:val="false"/>
          <w:bCs w:val="false"/>
        </w:rPr>
        <w:t xml:space="preserve">The continued scale-up of PMAY-U 2.0 sanctions reflects sustained government focus on affordable housing supply even as market-rate residential inventory nationally remains elevated.</w:t>
      </w:r>
    </w:p>
    <w:p>
      <w:pPr>
        <w:spacing w:after="150"/>
      </w:pPr>
      <w:r>
        <w:rPr>
          <w:i/>
          <w:iCs/>
          <w:color w:val="595959"/>
          <w:sz w:val="18"/>
          <w:szCs w:val="18"/>
        </w:rPr>
        <w:t xml:space="preserve">Sources: Swarajya/Ministry of Housing and Urban Affairs (PMAY-U sanctioned/completed house counts, PMAY-U 2.0 committee sanctions).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data centre sector attracted roughly $38 billion in investment commitments in January-June 2026 per CBRE, taking cumulative commitments since 2021 to about $173 billion, with hyperscale and co-location deals accounting for close to 62% of that total.</w:t>
      </w:r>
    </w:p>
    <w:p>
      <w:pPr>
        <w:pStyle w:val="ListParagraph"/>
        <w:numPr>
          <w:ilvl w:val="0"/>
          <w:numId w:val="2"/>
        </w:numPr>
        <w:spacing w:after="80"/>
      </w:pPr>
      <w:r>
        <w:rPr>
          <w:b w:val="false"/>
          <w:bCs w:val="false"/>
        </w:rPr>
        <w:t xml:space="preserve">CBRE's full-year 2026 outlook projects data centre investment commitments exceeding $54 billion, with roughly 130 MW of new capacity added in H1 2026 and more than 200 MW expected to go live in the second half of the year.</w:t>
      </w:r>
    </w:p>
    <w:p>
      <w:pPr>
        <w:pStyle w:val="ListParagraph"/>
        <w:numPr>
          <w:ilvl w:val="0"/>
          <w:numId w:val="2"/>
        </w:numPr>
        <w:spacing w:after="80"/>
      </w:pPr>
      <w:r>
        <w:rPr>
          <w:b w:val="false"/>
          <w:bCs w:val="false"/>
        </w:rPr>
        <w:t xml:space="preserve">Mumbai-MMR remains India's largest data centre market with 54 centres and 812 MW of IT capacity per Anarock, underscoring continued concentration of this asset class in India's primary financial hub even as other cities build out capacity.</w:t>
      </w:r>
    </w:p>
    <w:p>
      <w:pPr>
        <w:spacing w:after="150"/>
      </w:pPr>
      <w:r>
        <w:rPr>
          <w:i/>
          <w:iCs/>
          <w:color w:val="595959"/>
          <w:sz w:val="18"/>
          <w:szCs w:val="18"/>
        </w:rPr>
        <w:t xml:space="preserve">Sources: YourStory/CBRE (H1 2026 and cumulative data centre investment, capacity additions); Outlook Business/CBRE (full-year 2026 outlook); Anarock (Mumbai-MMR data centre capacity).</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PMAY-U's milestone of over 1 crore completed and delivered affordable homes as validation of sustained public-private collaboration in India's housing sector.</w:t>
      </w:r>
    </w:p>
    <w:p>
      <w:pPr>
        <w:pStyle w:val="ListParagraph"/>
        <w:numPr>
          <w:ilvl w:val="0"/>
          <w:numId w:val="2"/>
        </w:numPr>
        <w:spacing w:after="80"/>
      </w:pPr>
      <w:r>
        <w:rPr>
          <w:b w:val="false"/>
          <w:bCs w:val="false"/>
        </w:rPr>
        <w:t xml:space="preserve">With data centres drawing a rising share of institutional real estate capital, CREDAI and NAREDCO are expected to continue advocating for expanded infrastructure-status recognition and streamlined approval frameworks for this fast-growing asset class.</w:t>
      </w:r>
    </w:p>
    <w:p>
      <w:pPr>
        <w:pStyle w:val="ListParagraph"/>
        <w:numPr>
          <w:ilvl w:val="0"/>
          <w:numId w:val="2"/>
        </w:numPr>
        <w:spacing w:after="80"/>
      </w:pPr>
      <w:r>
        <w:rPr>
          <w:b w:val="false"/>
          <w:bCs w:val="false"/>
        </w:rPr>
        <w:t xml:space="preserve">The continued scale-up of both PMAY-U affordable housing and data centre investment commitments is likely to keep CREDAI and NAREDCO's national advocacy agenda focused on balancing affordable-segment supply with institutional-grade asset class growth.</w:t>
      </w:r>
    </w:p>
    <w:p>
      <w:pPr>
        <w:spacing w:after="150"/>
      </w:pPr>
      <w:r>
        <w:rPr>
          <w:i/>
          <w:iCs/>
          <w:color w:val="595959"/>
          <w:sz w:val="18"/>
          <w:szCs w:val="18"/>
        </w:rPr>
        <w:t xml:space="preserve">Sources: Swarajya/Ministry of Housing and Urban Affairs; YourStory/CBRE; Outlook Business/CBRE.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2026-10-16T03:45:59.543Z</dcterms:created>
  <dcterms:modified xsi:type="dcterms:W3CDTF">2026-10-16T03:45:59.714Z</dcterms:modified>
</cp:coreProperties>
</file>

<file path=docProps/custom.xml><?xml version="1.0" encoding="utf-8"?>
<Properties xmlns="http://schemas.openxmlformats.org/officeDocument/2006/custom-properties" xmlns:vt="http://schemas.openxmlformats.org/officeDocument/2006/docPropsVTypes"/>
</file>