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19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Godrej Properties' MSR City project in North Bengaluru sold roughly ₹2,000 crore of inventory in its first phase, reported as the most successful North Bengaluru launch yet by both value and volume, with about 5.6 million sq ft of developable potential still unlaunched.</w:t>
      </w:r>
    </w:p>
    <w:p>
      <w:pPr>
        <w:pStyle w:val="ListParagraph"/>
        <w:numPr>
          <w:ilvl w:val="0"/>
          <w:numId w:val="2"/>
        </w:numPr>
        <w:spacing w:after="80"/>
      </w:pPr>
      <w:r>
        <w:rPr>
          <w:b w:val="false"/>
          <w:bCs w:val="false"/>
        </w:rPr>
        <w:t xml:space="preserve">Prestige Springwood in Devanahalli was at pre-launch/EOI stage as of January 2026, comprising 180 apartments across four towers with 3- and 4-BHK units priced from roughly ₹2.4 crore to ₹5.2 crore.</w:t>
      </w:r>
    </w:p>
    <w:p>
      <w:pPr>
        <w:pStyle w:val="ListParagraph"/>
        <w:numPr>
          <w:ilvl w:val="0"/>
          <w:numId w:val="2"/>
        </w:numPr>
        <w:spacing w:after="80"/>
      </w:pPr>
      <w:r>
        <w:rPr>
          <w:b w:val="false"/>
          <w:bCs w:val="false"/>
        </w:rPr>
        <w:t xml:space="preserve">North Bengaluru accounted for roughly a third of the city's residential launches in 2025, with branded project pricing in Devanahalli reported at ₹8,500-13,000 per sq ft in early 2026 — a figure from industry-style guides that warrants independent verification.</w:t>
      </w:r>
    </w:p>
    <w:p>
      <w:pPr>
        <w:spacing w:after="150"/>
      </w:pPr>
      <w:r>
        <w:rPr>
          <w:i/>
          <w:iCs/>
          <w:color w:val="595959"/>
          <w:sz w:val="18"/>
          <w:szCs w:val="18"/>
        </w:rPr>
        <w:t xml:space="preserve">Sources: EPC World (Godrej MSR City first-phase sales); listing pages (Prestige Springwood pre-launch details, January 2026); industry guide (North Bengaluru 2025 launch share, Devanahalli branded pricing — unverified).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Godrej Devanahalli's pre-launch high-rise project spans over 62 acres across 25 towers with roughly 4,000 homes priced from about ₹60 lakh, though its originally reported February 2025 first-phase target has already slipped without a confirmed new date.</w:t>
      </w:r>
    </w:p>
    <w:p>
      <w:pPr>
        <w:pStyle w:val="ListParagraph"/>
        <w:numPr>
          <w:ilvl w:val="0"/>
          <w:numId w:val="2"/>
        </w:numPr>
        <w:spacing w:after="80"/>
      </w:pPr>
      <w:r>
        <w:rPr>
          <w:b w:val="false"/>
          <w:bCs w:val="false"/>
        </w:rPr>
        <w:t xml:space="preserve">Continued large-format launch activity from Godrej, Prestige and other major developers around the Devanahalli-airport corridor reinforces North Bengaluru's position as the city's primary growth engine for new residential supply.</w:t>
      </w:r>
    </w:p>
    <w:p>
      <w:pPr>
        <w:pStyle w:val="ListParagraph"/>
        <w:numPr>
          <w:ilvl w:val="0"/>
          <w:numId w:val="2"/>
        </w:numPr>
        <w:spacing w:after="80"/>
      </w:pPr>
      <w:r>
        <w:rPr>
          <w:b w:val="false"/>
          <w:bCs w:val="false"/>
        </w:rPr>
        <w:t xml:space="preserve">The wide range in reported Devanahalli pricing across sources (₹8,500-13,000 per sq ft branded vs. significantly lower unbranded inventory) continues to reflect the corridor's bifurcation between premium airport-linked projects and more affordable surrounding developments.</w:t>
      </w:r>
    </w:p>
    <w:p>
      <w:pPr>
        <w:spacing w:after="150"/>
      </w:pPr>
      <w:r>
        <w:rPr>
          <w:i/>
          <w:iCs/>
          <w:color w:val="595959"/>
          <w:sz w:val="18"/>
          <w:szCs w:val="18"/>
        </w:rPr>
        <w:t xml:space="preserve">Sources: Listing aggregators (Godrej Devanahalli project scale, pricing, slipped timeline); industry guide (North Bengaluru corridor positioning).</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Greater Bengaluru Authority (GBA) has confirmed that its 2026-27 property tax zone structure, rates and rebate slabs carry over unchanged from the prior BBMP regime, requiring no fresh action from property owners on the tax portal.</w:t>
      </w:r>
    </w:p>
    <w:p>
      <w:pPr>
        <w:pStyle w:val="ListParagraph"/>
        <w:numPr>
          <w:ilvl w:val="0"/>
          <w:numId w:val="2"/>
        </w:numPr>
        <w:spacing w:after="80"/>
      </w:pPr>
      <w:r>
        <w:rPr>
          <w:b w:val="false"/>
          <w:bCs w:val="false"/>
        </w:rPr>
        <w:t xml:space="preserve">Karnataka BJP has publicly questioned a GBA-proposed software charge on property taxpayers (reportedly ₹200 for residential and ₹1,000 for commercial properties), alleging it lacks transparency and clear legal justification.</w:t>
      </w:r>
    </w:p>
    <w:p>
      <w:pPr>
        <w:pStyle w:val="ListParagraph"/>
        <w:numPr>
          <w:ilvl w:val="0"/>
          <w:numId w:val="2"/>
        </w:numPr>
        <w:spacing w:after="80"/>
      </w:pPr>
      <w:r>
        <w:rPr>
          <w:b w:val="false"/>
          <w:bCs w:val="false"/>
        </w:rPr>
        <w:t xml:space="preserve">The state government separately cut the betterment levy to 2% for new A-khatas for a limited window following a GBA proposal, a concession CREDAI Karnataka members are likely to welcome as it reduces one-time registration costs during the authority's transition period.</w:t>
      </w:r>
    </w:p>
    <w:p>
      <w:pPr>
        <w:spacing w:after="150"/>
      </w:pPr>
      <w:r>
        <w:rPr>
          <w:i/>
          <w:iCs/>
          <w:color w:val="595959"/>
          <w:sz w:val="18"/>
          <w:szCs w:val="18"/>
        </w:rPr>
        <w:t xml:space="preserve">Sources: Homefirstindia (GBA 2026-27 property tax continuity); Deccan Chronicle/PTI (GBA software charge controversy); Deccan Herald (betterment levy cut for new A-khatas).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Telangana RERA (TG-RERA) has extended completion deadlines by four months for registered projects whose completion, revised, or extended completion date fell between 28 February 2026 and 31 July 2026, citing the West Asia conflict as a force majeure event, pushing affected deadlines to as late as 30 November 2026.</w:t>
      </w:r>
    </w:p>
    <w:p>
      <w:pPr>
        <w:pStyle w:val="ListParagraph"/>
        <w:numPr>
          <w:ilvl w:val="0"/>
          <w:numId w:val="2"/>
        </w:numPr>
        <w:spacing w:after="80"/>
      </w:pPr>
      <w:r>
        <w:rPr>
          <w:b w:val="false"/>
          <w:bCs w:val="false"/>
        </w:rPr>
        <w:t xml:space="preserve">Buyers at Incor Lake City in Patancheru, a 1,500-flat project launched in 2019, have protested continued handover delays after the project missed its promised Dasara 2025 possession deadline.</w:t>
      </w:r>
    </w:p>
    <w:p>
      <w:pPr>
        <w:pStyle w:val="ListParagraph"/>
        <w:numPr>
          <w:ilvl w:val="0"/>
          <w:numId w:val="2"/>
        </w:numPr>
        <w:spacing w:after="80"/>
      </w:pPr>
      <w:r>
        <w:rPr>
          <w:b w:val="false"/>
          <w:bCs w:val="false"/>
        </w:rPr>
        <w:t xml:space="preserve">Consumer bodies in Telangana have called on the state to curb real estate fraud and have demanded blacklisting of developers who fail to pay penalties already imposed by TGRERA, reflecting continued buyer frustration with enforcement follow-through.</w:t>
      </w:r>
    </w:p>
    <w:p>
      <w:pPr>
        <w:spacing w:after="150"/>
      </w:pPr>
      <w:r>
        <w:rPr>
          <w:i/>
          <w:iCs/>
          <w:color w:val="595959"/>
          <w:sz w:val="18"/>
          <w:szCs w:val="18"/>
        </w:rPr>
        <w:t xml:space="preserve">Sources: Siasat (TG-RERA four-month force-majeure completion extension); Ghar.tv (Incor Lake City Patancheru handover protests, consumer body demands).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TG-RERA fined Countryside Realtors ₹38.59 lakh for selling 20 villas without HMDA approval, part of a broader May 2026 enforcement sweep against Hyderabad-area developers for unregistered or non-compliant projects.</w:t>
      </w:r>
    </w:p>
    <w:p>
      <w:pPr>
        <w:pStyle w:val="ListParagraph"/>
        <w:numPr>
          <w:ilvl w:val="0"/>
          <w:numId w:val="2"/>
        </w:numPr>
        <w:spacing w:after="80"/>
      </w:pPr>
      <w:r>
        <w:rPr>
          <w:b w:val="false"/>
          <w:bCs w:val="false"/>
        </w:rPr>
        <w:t xml:space="preserve">Sandstone Infra was separately fined ₹9.01 lakh for an unregistered layout in Medchal and placed on a defaulter list, while NDL Infratech and Reddy Urban Infra were jointly fined ₹5 lakh over disputed Inam land.</w:t>
      </w:r>
    </w:p>
    <w:p>
      <w:pPr>
        <w:pStyle w:val="ListParagraph"/>
        <w:numPr>
          <w:ilvl w:val="0"/>
          <w:numId w:val="2"/>
        </w:numPr>
        <w:spacing w:after="80"/>
      </w:pPr>
      <w:r>
        <w:rPr>
          <w:b w:val="false"/>
          <w:bCs w:val="false"/>
        </w:rPr>
        <w:t xml:space="preserve">The pattern of TG-RERA penalties across multiple Hyderabad-area developers in a single enforcement cycle signals continued regulatory focus on HMDA-RERA approval sequencing for new layouts and villa projects.</w:t>
      </w:r>
    </w:p>
    <w:p>
      <w:pPr>
        <w:spacing w:after="150"/>
      </w:pPr>
      <w:r>
        <w:rPr>
          <w:i/>
          <w:iCs/>
          <w:color w:val="595959"/>
          <w:sz w:val="18"/>
          <w:szCs w:val="18"/>
        </w:rPr>
        <w:t xml:space="preserve">Sources: PropNewz (TG-RERA May 2026 enforcement pattern — Countryside Realtors, Sandstone Infra, NDL Infratech/Reddy Urban Infra penalties).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Telangana is likely to view TG-RERA's four-month force-majeure completion extension as welcome relief for developers managing West Asia-conflict-related supply chain and financing disruptions.</w:t>
      </w:r>
    </w:p>
    <w:p>
      <w:pPr>
        <w:pStyle w:val="ListParagraph"/>
        <w:numPr>
          <w:ilvl w:val="0"/>
          <w:numId w:val="2"/>
        </w:numPr>
        <w:spacing w:after="80"/>
      </w:pPr>
      <w:r>
        <w:rPr>
          <w:b w:val="false"/>
          <w:bCs w:val="false"/>
        </w:rPr>
        <w:t xml:space="preserve">The continued HMDA-RERA enforcement sweep against multiple developers in a single cycle is expected to keep CREDAI Telangana focused on member education around approval sequencing ahead of new layout launches.</w:t>
      </w:r>
    </w:p>
    <w:p>
      <w:pPr>
        <w:pStyle w:val="ListParagraph"/>
        <w:numPr>
          <w:ilvl w:val="0"/>
          <w:numId w:val="2"/>
        </w:numPr>
        <w:spacing w:after="80"/>
      </w:pPr>
      <w:r>
        <w:rPr>
          <w:b w:val="false"/>
          <w:bCs w:val="false"/>
        </w:rPr>
        <w:t xml:space="preserve">Consumer bodies' demand to blacklist penalty-defaulting developers is likely to be a point of ongoing engagement between CREDAI Telangana and TGRERA as the regulator balances enforcement with developer relief measures.</w:t>
      </w:r>
    </w:p>
    <w:p>
      <w:pPr>
        <w:spacing w:after="150"/>
      </w:pPr>
      <w:r>
        <w:rPr>
          <w:i/>
          <w:iCs/>
          <w:color w:val="595959"/>
          <w:sz w:val="18"/>
          <w:szCs w:val="18"/>
        </w:rPr>
        <w:t xml:space="preserve">Sources: Siasat; PropNewz; Ghar.tv.</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JLL projects India's fractional-ownership real estate market to grow more than tenfold to exceed $5 billion by 2030, with SM-REITs (Small and Medium Real Estate Investment Trusts) cited as the primary structural driver of that expansion.</w:t>
      </w:r>
    </w:p>
    <w:p>
      <w:pPr>
        <w:pStyle w:val="ListParagraph"/>
        <w:numPr>
          <w:ilvl w:val="0"/>
          <w:numId w:val="2"/>
        </w:numPr>
        <w:spacing w:after="80"/>
      </w:pPr>
      <w:r>
        <w:rPr>
          <w:b w:val="false"/>
          <w:bCs w:val="false"/>
        </w:rPr>
        <w:t xml:space="preserve">Mumbai and Delhi-NCR together account for nearly half of all SM-REIT-worthy residential and commercial assets across India's top seven cities, positioning both markets as the leading destinations for fractional-ownership capital formation.</w:t>
      </w:r>
    </w:p>
    <w:p>
      <w:pPr>
        <w:pStyle w:val="ListParagraph"/>
        <w:numPr>
          <w:ilvl w:val="0"/>
          <w:numId w:val="2"/>
        </w:numPr>
        <w:spacing w:after="80"/>
      </w:pPr>
      <w:r>
        <w:rPr>
          <w:b w:val="false"/>
          <w:bCs w:val="false"/>
        </w:rPr>
        <w:t xml:space="preserve">SEBI's 2024 regulatory amendments created the formal SM-REIT route, requiring qualifying platforms to meet listing, governance, valuation and disclosure obligations — a framework still maturing as more platforms seek registration.</w:t>
      </w:r>
    </w:p>
    <w:p>
      <w:pPr>
        <w:spacing w:after="150"/>
      </w:pPr>
      <w:r>
        <w:rPr>
          <w:i/>
          <w:iCs/>
          <w:color w:val="595959"/>
          <w:sz w:val="18"/>
          <w:szCs w:val="18"/>
        </w:rPr>
        <w:t xml:space="preserve">Sources: Therealtytoday/JLL ($5 billion fractional-ownership market projection by 2030); Outlookmoney (Mumbai, Delhi-NCR, Bengaluru as prime SM-REIT cities); Bar &amp; Bench (SEBI 2024 SM-REIT regulatory framework).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Property Share became the first platform to secure an SM-REIT license in August 2024 and went on to list India's first SM-REIT scheme, PropShare Platina, in December 2024, establishing the initial precedent for the asset class.</w:t>
      </w:r>
    </w:p>
    <w:p>
      <w:pPr>
        <w:pStyle w:val="ListParagraph"/>
        <w:numPr>
          <w:ilvl w:val="0"/>
          <w:numId w:val="2"/>
        </w:numPr>
        <w:spacing w:after="80"/>
      </w:pPr>
      <w:r>
        <w:rPr>
          <w:b w:val="false"/>
          <w:bCs w:val="false"/>
        </w:rPr>
        <w:t xml:space="preserve">Strata has applied for its own SM-REIT license, targeting roughly ₹2,000 crore in assets under management through fractional-ownership offerings, reflecting continued platform-level competition in the space.</w:t>
      </w:r>
    </w:p>
    <w:p>
      <w:pPr>
        <w:pStyle w:val="ListParagraph"/>
        <w:numPr>
          <w:ilvl w:val="0"/>
          <w:numId w:val="2"/>
        </w:numPr>
        <w:spacing w:after="80"/>
      </w:pPr>
      <w:r>
        <w:rPr>
          <w:b w:val="false"/>
          <w:bCs w:val="false"/>
        </w:rPr>
        <w:t xml:space="preserve">The SM-REIT framework's governance, valuation and disclosure requirements are expected to bring increased institutional rigor to a segment that previously operated largely outside formal securities regulation.</w:t>
      </w:r>
    </w:p>
    <w:p>
      <w:pPr>
        <w:spacing w:after="150"/>
      </w:pPr>
      <w:r>
        <w:rPr>
          <w:i/>
          <w:iCs/>
          <w:color w:val="595959"/>
          <w:sz w:val="18"/>
          <w:szCs w:val="18"/>
        </w:rPr>
        <w:t xml:space="preserve">Sources: Outlookindia (Property Share SM-REIT license, PropShare Platina listing); Therealtytoday (Strata SM-REIT license application, AUM target).</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view the maturing SM-REIT framework and the projected tenfold growth in fractional ownership as validation of their longstanding push for expanded REIT-style monetisation routes beyond traditional listed REITs.</w:t>
      </w:r>
    </w:p>
    <w:p>
      <w:pPr>
        <w:pStyle w:val="ListParagraph"/>
        <w:numPr>
          <w:ilvl w:val="0"/>
          <w:numId w:val="2"/>
        </w:numPr>
        <w:spacing w:after="80"/>
      </w:pPr>
      <w:r>
        <w:rPr>
          <w:b w:val="false"/>
          <w:bCs w:val="false"/>
        </w:rPr>
        <w:t xml:space="preserve">With Mumbai and Delhi-NCR dominating SM-REIT-worthy asset concentration, CREDAI's other regional chapters are expected to press for policy measures that broaden fractional-ownership opportunities to a wider set of cities and asset classes.</w:t>
      </w:r>
    </w:p>
    <w:p>
      <w:pPr>
        <w:pStyle w:val="ListParagraph"/>
        <w:numPr>
          <w:ilvl w:val="0"/>
          <w:numId w:val="2"/>
        </w:numPr>
        <w:spacing w:after="80"/>
      </w:pPr>
      <w:r>
        <w:rPr>
          <w:b w:val="false"/>
          <w:bCs w:val="false"/>
        </w:rPr>
        <w:t xml:space="preserve">As more platforms pursue SM-REIT licenses following Property Share's and Strata's lead, CREDAI and NAREDCO are likely to monitor SEBI's evolving governance and disclosure requirements to ensure they remain workable for small and mid-sized developers.</w:t>
      </w:r>
    </w:p>
    <w:p>
      <w:pPr>
        <w:spacing w:after="150"/>
      </w:pPr>
      <w:r>
        <w:rPr>
          <w:i/>
          <w:iCs/>
          <w:color w:val="595959"/>
          <w:sz w:val="18"/>
          <w:szCs w:val="18"/>
        </w:rPr>
        <w:t xml:space="preserve">Sources: Outlookmoney; Outlookindia; Therealtytoday; Bar &amp; Bench.</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2026-10-19T03:35:32.431Z</dcterms:created>
  <dcterms:modified xsi:type="dcterms:W3CDTF">2026-10-19T03:35:32.445Z</dcterms:modified>
</cp:coreProperties>
</file>

<file path=docProps/custom.xml><?xml version="1.0" encoding="utf-8"?>
<Properties xmlns="http://schemas.openxmlformats.org/officeDocument/2006/custom-properties" xmlns:vt="http://schemas.openxmlformats.org/officeDocument/2006/docPropsVTypes"/>
</file>