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30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Kanakapura Road (NH-948) has evolved into South Bengaluru's most significant residential growth corridor, stretching from Basavanagudi through Konanakunte, Uttarahalli and Vajarahalli, with premium micro-markets along the route now pricing above ₹7,000 per sq ft.</w:t>
      </w:r>
    </w:p>
    <w:p>
      <w:pPr>
        <w:pStyle w:val="ListParagraph"/>
        <w:numPr>
          <w:ilvl w:val="0"/>
          <w:numId w:val="2"/>
        </w:numPr>
        <w:spacing w:after="80"/>
      </w:pPr>
      <w:r>
        <w:rPr>
          <w:b w:val="false"/>
          <w:bCs w:val="false"/>
        </w:rPr>
        <w:t xml:space="preserve">Prestige Primrose Hills, a 15-acre, 15-tower, 1,680-home enclave in Banashankari 6th Stage near the Silk Institute Metro Station, continues progressing toward possession in late 2026, with unit prices ranging ₹70 lakh to ₹2 crore.</w:t>
      </w:r>
    </w:p>
    <w:p>
      <w:pPr>
        <w:pStyle w:val="ListParagraph"/>
        <w:numPr>
          <w:ilvl w:val="0"/>
          <w:numId w:val="2"/>
        </w:numPr>
        <w:spacing w:after="80"/>
      </w:pPr>
      <w:r>
        <w:rPr>
          <w:b w:val="false"/>
          <w:bCs w:val="false"/>
        </w:rPr>
        <w:t xml:space="preserve">The corridor's unique mix of high-speed urban connectivity and protected green space — including the 580-acre Turahalli Forest reserve — continues to differentiate it from other South Bengaluru growth zones.</w:t>
      </w:r>
    </w:p>
    <w:p>
      <w:pPr>
        <w:spacing w:after="150"/>
      </w:pPr>
      <w:r>
        <w:rPr>
          <w:i/>
          <w:iCs/>
          <w:color w:val="595959"/>
          <w:sz w:val="18"/>
          <w:szCs w:val="18"/>
        </w:rPr>
        <w:t xml:space="preserve">Sources: PrestigeForestEdge (Kanakapura Road corridor profile); PrestigeRaintreeParks (Banashankari pricing); PrestigeForestEdge (Turahalli Forest, Prestige Primrose Hills).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South submarket led Q2 2026 residential launches with a 38% share, driven by strong activity across Electronic City, Bannerghatta Road and Kanakapura Road.</w:t>
      </w:r>
    </w:p>
    <w:p>
      <w:pPr>
        <w:pStyle w:val="ListParagraph"/>
        <w:numPr>
          <w:ilvl w:val="0"/>
          <w:numId w:val="2"/>
        </w:numPr>
        <w:spacing w:after="80"/>
      </w:pPr>
      <w:r>
        <w:rPr>
          <w:b w:val="false"/>
          <w:bCs w:val="false"/>
        </w:rPr>
        <w:t xml:space="preserve">Continued development along Kanakapura Road near the Silk Institute Metro Station is expected to support incremental retail and commercial leasing demand as more large-format residential enclaves near completion.</w:t>
      </w:r>
    </w:p>
    <w:p>
      <w:pPr>
        <w:pStyle w:val="ListParagraph"/>
        <w:numPr>
          <w:ilvl w:val="0"/>
          <w:numId w:val="2"/>
        </w:numPr>
        <w:spacing w:after="80"/>
      </w:pPr>
      <w:r>
        <w:rPr>
          <w:b w:val="false"/>
          <w:bCs w:val="false"/>
        </w:rPr>
        <w:t xml:space="preserve">The corridor's proximity to Turahalli Forest continues to shape planning decisions, with developers balancing dense residential construction against the reserve's protected green-space status.</w:t>
      </w:r>
    </w:p>
    <w:p>
      <w:pPr>
        <w:spacing w:after="150"/>
      </w:pPr>
      <w:r>
        <w:rPr>
          <w:i/>
          <w:iCs/>
          <w:color w:val="595959"/>
          <w:sz w:val="18"/>
          <w:szCs w:val="18"/>
        </w:rPr>
        <w:t xml:space="preserve">Sources: OneCityProperty (Q2 2026 South submarket launch share); PrestigeForestEdge.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Kanakapura Road's emergence as South Bengaluru's leading growth corridor, alongside continued large-format project registrations like Prestige Primrose Hills nearing possession.</w:t>
      </w:r>
    </w:p>
    <w:p>
      <w:pPr>
        <w:pStyle w:val="ListParagraph"/>
        <w:numPr>
          <w:ilvl w:val="0"/>
          <w:numId w:val="2"/>
        </w:numPr>
        <w:spacing w:after="80"/>
      </w:pPr>
      <w:r>
        <w:rPr>
          <w:b w:val="false"/>
          <w:bCs w:val="false"/>
        </w:rPr>
        <w:t xml:space="preserve">K-RERA continues to operate with a partially reconstituted bench following N Jayaram's appointment as Member, even as the chairman post remains vacant since H.C. Kishore Chandra's retirement.</w:t>
      </w:r>
    </w:p>
    <w:p>
      <w:pPr>
        <w:pStyle w:val="ListParagraph"/>
        <w:numPr>
          <w:ilvl w:val="0"/>
          <w:numId w:val="2"/>
        </w:numPr>
        <w:spacing w:after="80"/>
      </w:pPr>
      <w:r>
        <w:rPr>
          <w:b w:val="false"/>
          <w:bCs w:val="false"/>
        </w:rPr>
        <w:t xml:space="preserve">CREDAI Karnataka's ongoing premium-FAR advocacy remains relevant to Kanakapura Road's mixed high-density and protected-green-space planning constraints, mirroring density debates in other Bengaluru corridors.</w:t>
      </w:r>
    </w:p>
    <w:p>
      <w:pPr>
        <w:spacing w:after="150"/>
      </w:pPr>
      <w:r>
        <w:rPr>
          <w:i/>
          <w:iCs/>
          <w:color w:val="595959"/>
          <w:sz w:val="18"/>
          <w:szCs w:val="18"/>
        </w:rPr>
        <w:t xml:space="preserve">Sources: PrestigeForestEdge; Deccan Herald (K-RERA bench composition).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CREDAI Hyderabad Property Show 2026 concluded today at HITEX with an "overwhelming response," generating sales worth ₹300 crore and a business pipeline worth ₹1,000 crore over its three-day run under the theme "Permanent Ho Jao."</w:t>
      </w:r>
    </w:p>
    <w:p>
      <w:pPr>
        <w:pStyle w:val="ListParagraph"/>
        <w:numPr>
          <w:ilvl w:val="0"/>
          <w:numId w:val="2"/>
        </w:numPr>
        <w:spacing w:after="80"/>
      </w:pPr>
      <w:r>
        <w:rPr>
          <w:b w:val="false"/>
          <w:bCs w:val="false"/>
        </w:rPr>
        <w:t xml:space="preserve">West Chennai — Porur, Poonamallee, Ambattur and Thirumazhisai — remains the city's fastest-evolving growth corridor in 2026, with Chennai Metro Phase II's West Chennai extension partially operational as the primary catalyst.</w:t>
      </w:r>
    </w:p>
    <w:p>
      <w:pPr>
        <w:pStyle w:val="ListParagraph"/>
        <w:numPr>
          <w:ilvl w:val="0"/>
          <w:numId w:val="2"/>
        </w:numPr>
        <w:spacing w:after="80"/>
      </w:pPr>
      <w:r>
        <w:rPr>
          <w:b w:val="false"/>
          <w:bCs w:val="false"/>
        </w:rPr>
        <w:t xml:space="preserve">Porur prices have climbed toward ₹7,400–7,800 per sq ft (a ₹800–1,000/sq ft jump in just two years), while Ambattur averages ₹6,300/sq ft with under-construction projects appreciating 26.85%.</w:t>
      </w:r>
    </w:p>
    <w:p>
      <w:pPr>
        <w:spacing w:after="150"/>
      </w:pPr>
      <w:r>
        <w:rPr>
          <w:i/>
          <w:iCs/>
          <w:color w:val="595959"/>
          <w:sz w:val="18"/>
          <w:szCs w:val="18"/>
        </w:rPr>
        <w:t xml:space="preserve">Sources: The Hans India (Property Show closing day, "Permanent Ho Jao" theme); Verified.RealEstate (West Chennai growth corridor); 99acres/SquareYards (Porur, Ambattur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final day of the CREDAI Hyderabad Property Show featured a panel discussion with leading real estate content creators comparing Hyderabad's real estate strength against other metro and Tier-1 Indian cities.</w:t>
      </w:r>
    </w:p>
    <w:p>
      <w:pPr>
        <w:pStyle w:val="ListParagraph"/>
        <w:numPr>
          <w:ilvl w:val="0"/>
          <w:numId w:val="2"/>
        </w:numPr>
        <w:spacing w:after="80"/>
      </w:pPr>
      <w:r>
        <w:rPr>
          <w:b w:val="false"/>
          <w:bCs w:val="false"/>
        </w:rPr>
        <w:t xml:space="preserve">Avadi, Ayappakkam and Puzhal continue to emerge as Chennai's affordable high-rise zones, with properties available up to ₹5,000 per sq ft even as core West Chennai corridors command a premium.</w:t>
      </w:r>
    </w:p>
    <w:p>
      <w:pPr>
        <w:pStyle w:val="ListParagraph"/>
        <w:numPr>
          <w:ilvl w:val="0"/>
          <w:numId w:val="2"/>
        </w:numPr>
        <w:spacing w:after="80"/>
      </w:pPr>
      <w:r>
        <w:rPr>
          <w:b w:val="false"/>
          <w:bCs w:val="false"/>
        </w:rPr>
        <w:t xml:space="preserve">Chennai Metro Phase II's continued rollout into West Chennai is expected to sustain commercial and retail spillover demand across Porur, Ambattur and neighbouring corridors through the rest of 2026.</w:t>
      </w:r>
    </w:p>
    <w:p>
      <w:pPr>
        <w:spacing w:after="150"/>
      </w:pPr>
      <w:r>
        <w:rPr>
          <w:i/>
          <w:iCs/>
          <w:color w:val="595959"/>
          <w:sz w:val="18"/>
          <w:szCs w:val="18"/>
        </w:rPr>
        <w:t xml:space="preserve">Sources: The Hans India (Property Show panel discussion); LiveHomes/99acres (Avadi/Ayappakkam/Puzhal pricing); Verified.RealEstate.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successful three-day Property Show conclusion (₹300 crore sales, ₹1,000 crore pipeline) reinforces the chapter's case that underlying demand remains resilient despite the city's ongoing HYDRAA-Section 22A disruption.</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South Indian CREDAI chapters continue to track Karnataka's K-RERA reconstitution and Tamil Nadu's proposed guideline-value revision as parallel regulatory developments shaping the region's compliance landscape.</w:t>
      </w:r>
    </w:p>
    <w:p>
      <w:pPr>
        <w:spacing w:after="150"/>
      </w:pPr>
      <w:r>
        <w:rPr>
          <w:i/>
          <w:iCs/>
          <w:color w:val="595959"/>
          <w:sz w:val="18"/>
          <w:szCs w:val="18"/>
        </w:rPr>
        <w:t xml:space="preserve">Sources: The Hans India; Business Standard (MoHUA advisory);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2026 is being framed as a favourable window for NRI real estate investment in India, with a weaker rupee against the US dollar, RERA-backed transparency and strong Tier-1 city demand continuing to draw overseas capital.</w:t>
      </w:r>
    </w:p>
    <w:p>
      <w:pPr>
        <w:pStyle w:val="ListParagraph"/>
        <w:numPr>
          <w:ilvl w:val="0"/>
          <w:numId w:val="2"/>
        </w:numPr>
        <w:spacing w:after="80"/>
      </w:pPr>
      <w:r>
        <w:rPr>
          <w:b w:val="false"/>
          <w:bCs w:val="false"/>
        </w:rPr>
        <w:t xml:space="preserve">The average age of NRI first-time homebuyers has dropped by nearly a decade, with many now purchasing homes in their early 30s, driven by higher disposable incomes and a stronger emotional connection to their roots.</w:t>
      </w:r>
    </w:p>
    <w:p>
      <w:pPr>
        <w:pStyle w:val="ListParagraph"/>
        <w:numPr>
          <w:ilvl w:val="0"/>
          <w:numId w:val="2"/>
        </w:numPr>
        <w:spacing w:after="80"/>
      </w:pPr>
      <w:r>
        <w:rPr>
          <w:b w:val="false"/>
          <w:bCs w:val="false"/>
        </w:rPr>
        <w:t xml:space="preserve">Bengaluru, Mumbai, Gurgaon, Hyderabad and Pune remain the top cities for NRI investment ROI, even as Tier-2 hubs like Indore gain traction on the back of rapid infrastructure growth and RERA-compliant premium projects.</w:t>
      </w:r>
    </w:p>
    <w:p>
      <w:pPr>
        <w:spacing w:after="150"/>
      </w:pPr>
      <w:r>
        <w:rPr>
          <w:i/>
          <w:iCs/>
          <w:color w:val="595959"/>
          <w:sz w:val="18"/>
          <w:szCs w:val="18"/>
        </w:rPr>
        <w:t xml:space="preserve">Sources: K Raheja Realty/BPTP (NRI investment trends, rupee depreciation); Micromitti/NRIInvestIndia (NRI homebuyer demographics, top cities).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CREDAI Hyderabad's successful Property Show conclusion (₹300 crore sales, ₹1,000 crore pipeline) illustrates the kind of organised, direct developer-buyer engagement increasingly used nationally to sustain confidence amid a maturing sales cycle.</w:t>
      </w:r>
    </w:p>
    <w:p>
      <w:pPr>
        <w:pStyle w:val="ListParagraph"/>
        <w:numPr>
          <w:ilvl w:val="0"/>
          <w:numId w:val="2"/>
        </w:numPr>
        <w:spacing w:after="80"/>
      </w:pPr>
      <w:r>
        <w:rPr>
          <w:b w:val="false"/>
          <w:bCs w:val="false"/>
        </w:rPr>
        <w:t xml:space="preserve">Continued NRI capital inflows, supported by favourable currency conditions and RERA transparency, are expected to reinforce commercial and residential investment across India's top NRI-favoured cities through the rest of 2026.</w:t>
      </w:r>
    </w:p>
    <w:p>
      <w:pPr>
        <w:pStyle w:val="ListParagraph"/>
        <w:numPr>
          <w:ilvl w:val="0"/>
          <w:numId w:val="2"/>
        </w:numPr>
        <w:spacing w:after="80"/>
      </w:pPr>
      <w:r>
        <w:rPr>
          <w:b w:val="false"/>
          <w:bCs w:val="false"/>
        </w:rPr>
        <w:t xml:space="preserve">Growth corridors like Chennai's West Chennai belt and Bengaluru's Kanakapura Road illustrate a broader national pattern of metro-linked and infrastructure-driven commercial and residential expansion beyond established city cores.</w:t>
      </w:r>
    </w:p>
    <w:p>
      <w:pPr>
        <w:spacing w:after="150"/>
      </w:pPr>
      <w:r>
        <w:rPr>
          <w:i/>
          <w:iCs/>
          <w:color w:val="595959"/>
          <w:sz w:val="18"/>
          <w:szCs w:val="18"/>
        </w:rPr>
        <w:t xml:space="preserve">Sources: The Hans India; K Raheja Realty/BPTP; Verified.RealEstate/PrestigeForestEdge.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CREDAI Hyderabad's successful Property Show conclusion offers a positive national counterpoint to concerns about slowing sales volumes, demonstrating how organised developer showcases can convert footfall into confirmed sales.</w:t>
      </w:r>
    </w:p>
    <w:p>
      <w:pPr>
        <w:pStyle w:val="ListParagraph"/>
        <w:numPr>
          <w:ilvl w:val="0"/>
          <w:numId w:val="2"/>
        </w:numPr>
        <w:spacing w:after="80"/>
      </w:pPr>
      <w:r>
        <w:rPr>
          <w:b w:val="false"/>
          <w:bCs w:val="false"/>
        </w:rPr>
        <w:t xml:space="preserve">Karnataka's gradual K-RERA reconstitution and Tamil Nadu's proposed guideline-value revision continue to illustrate the uneven but active pace of real estate governance recalibration across South India this month.</w:t>
      </w:r>
    </w:p>
    <w:p>
      <w:pPr>
        <w:spacing w:after="150"/>
      </w:pPr>
      <w:r>
        <w:rPr>
          <w:i/>
          <w:iCs/>
          <w:color w:val="595959"/>
          <w:sz w:val="18"/>
          <w:szCs w:val="18"/>
        </w:rPr>
        <w:t xml:space="preserve">Sources: Business Standard; The Hans India;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2026-08-30T03:42:17.435Z</dcterms:created>
  <dcterms:modified xsi:type="dcterms:W3CDTF">2026-08-30T03:42:17.450Z</dcterms:modified>
</cp:coreProperties>
</file>

<file path=docProps/custom.xml><?xml version="1.0" encoding="utf-8"?>
<Properties xmlns="http://schemas.openxmlformats.org/officeDocument/2006/custom-properties" xmlns:vt="http://schemas.openxmlformats.org/officeDocument/2006/docPropsVTypes"/>
</file>