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Wednesday, 30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CV Raman Nagar, an upmarket East Bengaluru catchment along Old Madras Road and the eastern Outer Ring Road, now averages ₹8,143 per sq ft with a three-year appreciation of roughly 91.78% — one of the highest in the city.</w:t>
      </w:r>
    </w:p>
    <w:p>
      <w:pPr>
        <w:pStyle w:val="ListParagraph"/>
        <w:numPr>
          <w:ilvl w:val="0"/>
          <w:numId w:val="2"/>
        </w:numPr>
        <w:spacing w:after="80"/>
      </w:pPr>
      <w:r>
        <w:rPr>
          <w:b w:val="false"/>
          <w:bCs w:val="false"/>
        </w:rPr>
        <w:t xml:space="preserve">Old Airport Road has risen 31.9% over the past year to average ₹13,650 per sq ft, with Marathahalli, Domlur and Kodihalli forming key surrounding residential clusters in this upscale, largely premium-apartment belt.</w:t>
      </w:r>
    </w:p>
    <w:p>
      <w:pPr>
        <w:pStyle w:val="ListParagraph"/>
        <w:numPr>
          <w:ilvl w:val="0"/>
          <w:numId w:val="2"/>
        </w:numPr>
        <w:spacing w:after="80"/>
      </w:pPr>
      <w:r>
        <w:rPr>
          <w:b w:val="false"/>
          <w:bCs w:val="false"/>
        </w:rPr>
        <w:t xml:space="preserve">Bengaluru has emerged as India's second most expensive housing market, with Q1 2026 prices up 24% YoY citywide.</w:t>
      </w:r>
    </w:p>
    <w:p>
      <w:pPr>
        <w:spacing w:after="150"/>
      </w:pPr>
      <w:r>
        <w:rPr>
          <w:i/>
          <w:iCs/>
          <w:color w:val="595959"/>
          <w:sz w:val="18"/>
          <w:szCs w:val="18"/>
        </w:rPr>
        <w:t xml:space="preserve">Sources: NoBroker/99acres (CV Raman Nagar pricing, 3-year appreciation); 99acres (Old Airport Road pricing); Newkerala (Bengaluru Q1 2026 price jump, second-most-expensive market ranking).</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Karnataka government has directed the BDA to fund a ₹1,000 crore road-development programme, a major infrastructure push expected to improve connectivity across BDA-administered layouts.</w:t>
      </w:r>
    </w:p>
    <w:p>
      <w:pPr>
        <w:pStyle w:val="ListParagraph"/>
        <w:numPr>
          <w:ilvl w:val="0"/>
          <w:numId w:val="2"/>
        </w:numPr>
        <w:spacing w:after="80"/>
      </w:pPr>
      <w:r>
        <w:rPr>
          <w:b w:val="false"/>
          <w:bCs w:val="false"/>
        </w:rPr>
        <w:t xml:space="preserve">Under the GBA Amendment 2026, residential height limits now stand at 15 metres (roughly G+3 to G+4), FAR remains at 1.75, and setback norms have been reduced for smaller plots — easing construction economics for compact urban sites.</w:t>
      </w:r>
    </w:p>
    <w:p>
      <w:pPr>
        <w:pStyle w:val="ListParagraph"/>
        <w:numPr>
          <w:ilvl w:val="0"/>
          <w:numId w:val="2"/>
        </w:numPr>
        <w:spacing w:after="80"/>
      </w:pPr>
      <w:r>
        <w:rPr>
          <w:b w:val="false"/>
          <w:bCs w:val="false"/>
        </w:rPr>
        <w:t xml:space="preserve">Continued premiumisation across CV Raman Nagar and Old Airport Road is reinforcing East Bengaluru's positioning as a high-value, well-connected commercial and residential catchment.</w:t>
      </w:r>
    </w:p>
    <w:p>
      <w:pPr>
        <w:spacing w:after="150"/>
      </w:pPr>
      <w:r>
        <w:rPr>
          <w:i/>
          <w:iCs/>
          <w:color w:val="595959"/>
          <w:sz w:val="18"/>
          <w:szCs w:val="18"/>
        </w:rPr>
        <w:t xml:space="preserve">Sources: Newkerala (BDA ₹1,000 crore road-development fund); 1acre.in (GBA Amendment 2026 height/FAR/setback norms).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Building plan approvals in Karnataka now move through the BPAS online portal or Sakala, with scrutiny fees and development charges cleared digitally and approvals issued within 30-75 days depending on project size.</w:t>
      </w:r>
    </w:p>
    <w:p>
      <w:pPr>
        <w:pStyle w:val="ListParagraph"/>
        <w:numPr>
          <w:ilvl w:val="0"/>
          <w:numId w:val="2"/>
        </w:numPr>
        <w:spacing w:after="80"/>
      </w:pPr>
      <w:r>
        <w:rPr>
          <w:b w:val="false"/>
          <w:bCs w:val="false"/>
        </w:rPr>
        <w:t xml:space="preserve">Jurisdiction remains split — BBMP approves construction within Bengaluru's municipal limits while BDA approves plots inside BDA-developed layouts — though building-plan approvals, Occupancy Certificates and construction compliance now fall under the relevant city corporation.</w:t>
      </w:r>
    </w:p>
    <w:p>
      <w:pPr>
        <w:pStyle w:val="ListParagraph"/>
        <w:numPr>
          <w:ilvl w:val="0"/>
          <w:numId w:val="2"/>
        </w:numPr>
        <w:spacing w:after="80"/>
      </w:pPr>
      <w:r>
        <w:rPr>
          <w:b w:val="false"/>
          <w:bCs w:val="false"/>
        </w:rPr>
        <w:t xml:space="preserve">CREDAI Karnataka is likely to welcome the GBA Amendment 2026's reduced setback norms and streamlined approval timelines as a tangible easing of the state's historically fragmented building-approval process.</w:t>
      </w:r>
    </w:p>
    <w:p>
      <w:pPr>
        <w:spacing w:after="150"/>
      </w:pPr>
      <w:r>
        <w:rPr>
          <w:i/>
          <w:iCs/>
          <w:color w:val="595959"/>
          <w:sz w:val="18"/>
          <w:szCs w:val="18"/>
        </w:rPr>
        <w:t xml:space="preserve">Sources: 1acre.in (BPAS/Sakala approval process, timelines); Modern Spaaces (BBMP/BDA/GBA jurisdiction).</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 continues to position itself as a comparatively affordable real estate market relative to Hyderabad and Bengaluru, according to a fresh market comparison, even as all three southern hubs post continued price appreciation.</w:t>
      </w:r>
    </w:p>
    <w:p>
      <w:pPr>
        <w:pStyle w:val="ListParagraph"/>
        <w:numPr>
          <w:ilvl w:val="0"/>
          <w:numId w:val="2"/>
        </w:numPr>
        <w:spacing w:after="80"/>
      </w:pPr>
      <w:r>
        <w:rPr>
          <w:b w:val="false"/>
          <w:bCs w:val="false"/>
        </w:rPr>
        <w:t xml:space="preserve">Hyderabad recorded the highest annual sales growth among India's top cities in Q3 2026 at 15%, followed by Bengaluru at 12%, even as Pune, NCR, Kolkata and Chennai posted annual sales declines in the same period.</w:t>
      </w:r>
    </w:p>
    <w:p>
      <w:pPr>
        <w:pStyle w:val="ListParagraph"/>
        <w:numPr>
          <w:ilvl w:val="0"/>
          <w:numId w:val="2"/>
        </w:numPr>
        <w:spacing w:after="80"/>
      </w:pPr>
      <w:r>
        <w:rPr>
          <w:b w:val="false"/>
          <w:bCs w:val="false"/>
        </w:rPr>
        <w:t xml:space="preserve">Bengaluru recorded roughly 16,670 unit sales in Q3 2026 — the second-highest among India's top seven cities after the Mumbai Metropolitan Region's approximately 31,750 units.</w:t>
      </w:r>
    </w:p>
    <w:p>
      <w:pPr>
        <w:spacing w:after="150"/>
      </w:pPr>
      <w:r>
        <w:rPr>
          <w:i/>
          <w:iCs/>
          <w:color w:val="595959"/>
          <w:sz w:val="18"/>
          <w:szCs w:val="18"/>
        </w:rPr>
        <w:t xml:space="preserve">Sources: Tradebrains (Chennai affordability comparison); BusinessToday/Anarock (Q3 2026 city-wise sales growth data).</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Hyderabad's new housing supply surged 120% YoY in Q3 2026 — the sharpest increase among India's major cities — reflecting an aggressive developer launch pipeline even as MMR and Bengaluru posted more moderate 27% and 17% supply increases respectively.</w:t>
      </w:r>
    </w:p>
    <w:p>
      <w:pPr>
        <w:pStyle w:val="ListParagraph"/>
        <w:numPr>
          <w:ilvl w:val="0"/>
          <w:numId w:val="2"/>
        </w:numPr>
        <w:spacing w:after="80"/>
      </w:pPr>
      <w:r>
        <w:rPr>
          <w:b w:val="false"/>
          <w:bCs w:val="false"/>
        </w:rPr>
        <w:t xml:space="preserve">Continued Chennai affordability relative to Hyderabad and Bengaluru is expected to sustain investor and end-user interest in the city even as it posts annual sales softness alongside other non-southern metros.</w:t>
      </w:r>
    </w:p>
    <w:p>
      <w:pPr>
        <w:pStyle w:val="ListParagraph"/>
        <w:numPr>
          <w:ilvl w:val="0"/>
          <w:numId w:val="2"/>
        </w:numPr>
        <w:spacing w:after="80"/>
      </w:pPr>
      <w:r>
        <w:rPr>
          <w:b w:val="false"/>
          <w:bCs w:val="false"/>
        </w:rPr>
        <w:t xml:space="preserve">Overall new housing supply across India's top cities rose 18% YoY to around 1,14,320 units in Q3 2026, indicating developers remain confident about absorbing festive-season demand.</w:t>
      </w:r>
    </w:p>
    <w:p>
      <w:pPr>
        <w:spacing w:after="150"/>
      </w:pPr>
      <w:r>
        <w:rPr>
          <w:i/>
          <w:iCs/>
          <w:color w:val="595959"/>
          <w:sz w:val="18"/>
          <w:szCs w:val="18"/>
        </w:rPr>
        <w:t xml:space="preserve">Sources: BusinessToday/Anarock (Q3 2026 supply growth by city); Tradebrains.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Telangana is likely to view Hyderabad's 120% supply surge and 15% sales growth as strong validation of the city's continued developer confidence heading into the festive season.</w:t>
      </w:r>
    </w:p>
    <w:p>
      <w:pPr>
        <w:pStyle w:val="ListParagraph"/>
        <w:numPr>
          <w:ilvl w:val="0"/>
          <w:numId w:val="2"/>
        </w:numPr>
        <w:spacing w:after="80"/>
      </w:pPr>
      <w:r>
        <w:rPr>
          <w:b w:val="false"/>
          <w:bCs w:val="false"/>
        </w:rPr>
        <w:t xml:space="preserve">CREDAI Tamil Nadu is expected to keep highlighting Chennai's relative affordability as a differentiator for the state even amid a reported annual sales decline in Q3 2026.</w:t>
      </w:r>
    </w:p>
    <w:p>
      <w:pPr>
        <w:pStyle w:val="ListParagraph"/>
        <w:numPr>
          <w:ilvl w:val="0"/>
          <w:numId w:val="2"/>
        </w:numPr>
        <w:spacing w:after="80"/>
      </w:pPr>
      <w:r>
        <w:rPr>
          <w:b w:val="false"/>
          <w:bCs w:val="false"/>
        </w:rPr>
        <w:t xml:space="preserve">Continued double-digit sales growth in Bengaluru and Hyderabad gives South India's RERA authorities a strong festive-season registration pipeline to monitor across both states.</w:t>
      </w:r>
    </w:p>
    <w:p>
      <w:pPr>
        <w:spacing w:after="150"/>
      </w:pPr>
      <w:r>
        <w:rPr>
          <w:i/>
          <w:iCs/>
          <w:color w:val="595959"/>
          <w:sz w:val="18"/>
          <w:szCs w:val="18"/>
        </w:rPr>
        <w:t xml:space="preserve">Sources: BusinessToday/Anarock; Tradebrains.</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festive season (Ganesh Chaturthi through Diwali) is expected to see healthy residential demand nationally in 2026, though growth is likely to moderate compared with the sharp expansion seen in previous festive years.</w:t>
      </w:r>
    </w:p>
    <w:p>
      <w:pPr>
        <w:pStyle w:val="ListParagraph"/>
        <w:numPr>
          <w:ilvl w:val="0"/>
          <w:numId w:val="2"/>
        </w:numPr>
        <w:spacing w:after="80"/>
      </w:pPr>
      <w:r>
        <w:rPr>
          <w:b w:val="false"/>
          <w:bCs w:val="false"/>
        </w:rPr>
        <w:t xml:space="preserve">Average residential prices across India's top cities rose 7% YoY to ₹9,714 per sq ft in Q3 2026, with NCR posting the sharpest gain at 12%, followed by Bengaluru at 8%.</w:t>
      </w:r>
    </w:p>
    <w:p>
      <w:pPr>
        <w:pStyle w:val="ListParagraph"/>
        <w:numPr>
          <w:ilvl w:val="0"/>
          <w:numId w:val="2"/>
        </w:numPr>
        <w:spacing w:after="80"/>
      </w:pPr>
      <w:r>
        <w:rPr>
          <w:b w:val="false"/>
          <w:bCs w:val="false"/>
        </w:rPr>
        <w:t xml:space="preserve">62% of prospective buyers nationally favour 2 and 3 BHK apartments, with 46% targeting properties priced between ₹50 lakh and ₹1.5 crore, even as homes above ₹1 crore made up 54% of total sales in H1 2026 versus 49% a year earlier.</w:t>
      </w:r>
    </w:p>
    <w:p>
      <w:pPr>
        <w:spacing w:after="150"/>
      </w:pPr>
      <w:r>
        <w:rPr>
          <w:i/>
          <w:iCs/>
          <w:color w:val="595959"/>
          <w:sz w:val="18"/>
          <w:szCs w:val="18"/>
        </w:rPr>
        <w:t xml:space="preserve">Sources: Business Standard (festive demand outlook, Q3 2026 price data); The Realty Today/Outlook Money (buyer preference survey, H1 2026 sales-value mix).</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Housing sales across India's top seven cities rose 3% YoY to just over 1 lakh units in Q3 2026, with the Mumbai Metropolitan Region recording the highest volume at roughly 31,750 units.</w:t>
      </w:r>
    </w:p>
    <w:p>
      <w:pPr>
        <w:pStyle w:val="ListParagraph"/>
        <w:numPr>
          <w:ilvl w:val="0"/>
          <w:numId w:val="2"/>
        </w:numPr>
        <w:spacing w:after="80"/>
      </w:pPr>
      <w:r>
        <w:rPr>
          <w:b w:val="false"/>
          <w:bCs w:val="false"/>
        </w:rPr>
        <w:t xml:space="preserve">New housing supply jumped 18% YoY to about 1,14,320 units in Q3 2026, led by Hyderabad's 120% surge, reflecting continued developer confidence in absorbing upcoming festive-season demand.</w:t>
      </w:r>
    </w:p>
    <w:p>
      <w:pPr>
        <w:pStyle w:val="ListParagraph"/>
        <w:numPr>
          <w:ilvl w:val="0"/>
          <w:numId w:val="2"/>
        </w:numPr>
        <w:spacing w:after="80"/>
      </w:pPr>
      <w:r>
        <w:rPr>
          <w:b w:val="false"/>
          <w:bCs w:val="false"/>
        </w:rPr>
        <w:t xml:space="preserve">Developers are increasingly relying on payment plans and fiscal incentives to help convert festive-season enquiries into sales as overall growth momentum moderates from prior years.</w:t>
      </w:r>
    </w:p>
    <w:p>
      <w:pPr>
        <w:spacing w:after="150"/>
      </w:pPr>
      <w:r>
        <w:rPr>
          <w:i/>
          <w:iCs/>
          <w:color w:val="595959"/>
          <w:sz w:val="18"/>
          <w:szCs w:val="18"/>
        </w:rPr>
        <w:t xml:space="preserve">Sources: BusinessToday/Anarock (Q3 2026 sales and supply data); Business Standard (festive-season payment-plan incentives).</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welcome the healthy, if moderating, festive-season demand outlook as a sign of continued underlying strength in India's residential market.</w:t>
      </w:r>
    </w:p>
    <w:p>
      <w:pPr>
        <w:pStyle w:val="ListParagraph"/>
        <w:numPr>
          <w:ilvl w:val="0"/>
          <w:numId w:val="2"/>
        </w:numPr>
        <w:spacing w:after="80"/>
      </w:pPr>
      <w:r>
        <w:rPr>
          <w:b w:val="false"/>
          <w:bCs w:val="false"/>
        </w:rPr>
        <w:t xml:space="preserve">The sharp divergence in city-wise sales and supply growth — Hyderabad's strength versus declines in Pune, NCR and Kolkata — is expected to keep both bodies focused on region-specific demand-support measures.</w:t>
      </w:r>
    </w:p>
    <w:p>
      <w:pPr>
        <w:pStyle w:val="ListParagraph"/>
        <w:numPr>
          <w:ilvl w:val="0"/>
          <w:numId w:val="2"/>
        </w:numPr>
        <w:spacing w:after="80"/>
      </w:pPr>
      <w:r>
        <w:rPr>
          <w:b w:val="false"/>
          <w:bCs w:val="false"/>
        </w:rPr>
        <w:t xml:space="preserve">Continued buyer preference for 2-3 BHK homes in the ₹50 lakh-₹1.5 crore range is likely to keep CREDAI's affordable and mid-income housing advocacy central to festive-season industry messaging nationally.</w:t>
      </w:r>
    </w:p>
    <w:p>
      <w:pPr>
        <w:spacing w:after="150"/>
      </w:pPr>
      <w:r>
        <w:rPr>
          <w:i/>
          <w:iCs/>
          <w:color w:val="595959"/>
          <w:sz w:val="18"/>
          <w:szCs w:val="18"/>
        </w:rPr>
        <w:t xml:space="preserve">Sources: Business Standard; BusinessToday/Anarock; The Realty Today/Outlook Money.</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2026-09-30T03:38:12.916Z</dcterms:created>
  <dcterms:modified xsi:type="dcterms:W3CDTF">2026-09-30T03:38:12.925Z</dcterms:modified>
</cp:coreProperties>
</file>

<file path=docProps/custom.xml><?xml version="1.0" encoding="utf-8"?>
<Properties xmlns="http://schemas.openxmlformats.org/officeDocument/2006/custom-properties" xmlns:vt="http://schemas.openxmlformats.org/officeDocument/2006/docPropsVTypes"/>
</file>