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20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Bellandur commands an average property rate of ₹13,400 per sq ft, with 2 BHK flats priced ₹80 lakh–1.8 crore and 3 BHK units ₹1.3–3 crore, reflecting the corridor's status as one of East Bengaluru's most premium micro-markets.</w:t>
      </w:r>
    </w:p>
    <w:p>
      <w:pPr>
        <w:pStyle w:val="ListParagraph"/>
        <w:numPr>
          <w:ilvl w:val="0"/>
          <w:numId w:val="2"/>
        </w:numPr>
        <w:spacing w:after="80"/>
      </w:pPr>
      <w:r>
        <w:rPr>
          <w:b w:val="false"/>
          <w:bCs w:val="false"/>
        </w:rPr>
        <w:t xml:space="preserve">Marathahalli's 2 BHK apartments are priced ₹75 lakh–1.2 crore depending on building age and amenities, with the locality remaining a mid-segment housing hub favoured by IT professionals and families.</w:t>
      </w:r>
    </w:p>
    <w:p>
      <w:pPr>
        <w:pStyle w:val="ListParagraph"/>
        <w:numPr>
          <w:ilvl w:val="0"/>
          <w:numId w:val="2"/>
        </w:numPr>
        <w:spacing w:after="80"/>
      </w:pPr>
      <w:r>
        <w:rPr>
          <w:b w:val="false"/>
          <w:bCs w:val="false"/>
        </w:rPr>
        <w:t xml:space="preserve">Supply continues to lag demand in prime ORR micro-markets around Bellandur and Marathahalli, with the upcoming Marathahalli metro station on the ORR corridor expected to further improve East Bengaluru connectivity and drive additional price appreciation.</w:t>
      </w:r>
    </w:p>
    <w:p>
      <w:pPr>
        <w:spacing w:after="150"/>
      </w:pPr>
      <w:r>
        <w:rPr>
          <w:i/>
          <w:iCs/>
          <w:color w:val="595959"/>
          <w:sz w:val="18"/>
          <w:szCs w:val="18"/>
        </w:rPr>
        <w:t xml:space="preserve">Sources: HomeBazaar/PropSoch (Bellandur pricing, ORR supply-demand); MyPropertyFact/BangaloreBlogs (Marathahalli pricing, metro station).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East Bengaluru's ORR corridor around Bellandur and Marathahalli continues to anchor the city's IT-led commercial demand, with limited supply keeping both office and residential rents firm in the belt.</w:t>
      </w:r>
    </w:p>
    <w:p>
      <w:pPr>
        <w:pStyle w:val="ListParagraph"/>
        <w:numPr>
          <w:ilvl w:val="0"/>
          <w:numId w:val="2"/>
        </w:numPr>
        <w:spacing w:after="80"/>
      </w:pPr>
      <w:r>
        <w:rPr>
          <w:b w:val="false"/>
          <w:bCs w:val="false"/>
        </w:rPr>
        <w:t xml:space="preserve">The upcoming Marathahalli metro station is expected to unlock incremental retail and commercial leasing activity along the ORR corridor as connectivity to the wider Namma Metro network improves.</w:t>
      </w:r>
    </w:p>
    <w:p>
      <w:pPr>
        <w:pStyle w:val="ListParagraph"/>
        <w:numPr>
          <w:ilvl w:val="0"/>
          <w:numId w:val="2"/>
        </w:numPr>
        <w:spacing w:after="80"/>
      </w:pPr>
      <w:r>
        <w:rPr>
          <w:b w:val="false"/>
          <w:bCs w:val="false"/>
        </w:rPr>
        <w:t xml:space="preserve">Continued infrastructure investment in East Bengaluru — spanning metro expansion and road upgrades — remains a key driver of the corridor's sustained commercial and residential premium over other parts of the city.</w:t>
      </w:r>
    </w:p>
    <w:p>
      <w:pPr>
        <w:spacing w:after="150"/>
      </w:pPr>
      <w:r>
        <w:rPr>
          <w:i/>
          <w:iCs/>
          <w:color w:val="595959"/>
          <w:sz w:val="18"/>
          <w:szCs w:val="18"/>
        </w:rPr>
        <w:t xml:space="preserve">Sources: HomeBazaar/PropSoch; MyPropertyFact/BangaloreBlogs.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East Bengaluru's ORR corridor as a priority zone for project registrations, given the sustained supply-demand mismatch around Bellandur and Marathahalli.</w:t>
      </w:r>
    </w:p>
    <w:p>
      <w:pPr>
        <w:pStyle w:val="ListParagraph"/>
        <w:numPr>
          <w:ilvl w:val="0"/>
          <w:numId w:val="2"/>
        </w:numPr>
        <w:spacing w:after="80"/>
      </w:pPr>
      <w:r>
        <w:rPr>
          <w:b w:val="false"/>
          <w:bCs w:val="false"/>
        </w:rPr>
        <w:t xml:space="preserve">K-RERA continues to operate without a permanent chairman following H.C. Kishore Chandra's retirement, with developers in high-demand corridors like Bellandur and Marathahalli continuing project registrations under the regulator's existing framework.</w:t>
      </w:r>
    </w:p>
    <w:p>
      <w:pPr>
        <w:pStyle w:val="ListParagraph"/>
        <w:numPr>
          <w:ilvl w:val="0"/>
          <w:numId w:val="2"/>
        </w:numPr>
        <w:spacing w:after="80"/>
      </w:pPr>
      <w:r>
        <w:rPr>
          <w:b w:val="false"/>
          <w:bCs w:val="false"/>
        </w:rPr>
        <w:t xml:space="preserve">CREDAI Bengaluru's ongoing premium-FAR advocacy remains relevant to East Bengaluru's dense ORR corridor, where limited land availability continues to constrain new residential and commercial supply.</w:t>
      </w:r>
    </w:p>
    <w:p>
      <w:pPr>
        <w:spacing w:after="150"/>
      </w:pPr>
      <w:r>
        <w:rPr>
          <w:i/>
          <w:iCs/>
          <w:color w:val="595959"/>
          <w:sz w:val="18"/>
          <w:szCs w:val="18"/>
        </w:rPr>
        <w:t xml:space="preserve">Sources: Deccan Herald (K-RERA chairman vacancy, CREDAI FAR advocacy); HomeBazaar/PropSoch.</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real estate market remains one of India's most stable, with prices growing a steady 4–7% annually over 2021–2026 and Q1 2026 sales up 10% YoY to ~7,200 units against ~6,500 launches (+15% QoQ).</w:t>
      </w:r>
    </w:p>
    <w:p>
      <w:pPr>
        <w:pStyle w:val="ListParagraph"/>
        <w:numPr>
          <w:ilvl w:val="0"/>
          <w:numId w:val="2"/>
        </w:numPr>
        <w:spacing w:after="80"/>
      </w:pPr>
      <w:r>
        <w:rPr>
          <w:b w:val="false"/>
          <w:bCs w:val="false"/>
        </w:rPr>
        <w:t xml:space="preserve">OMR and GST Road (South) together account for more than 80% of Chennai's new residential supply and roughly 38% of citywide sales share, reaffirming the corridor's dominance in the city's housing market.</w:t>
      </w:r>
    </w:p>
    <w:p>
      <w:pPr>
        <w:pStyle w:val="ListParagraph"/>
        <w:numPr>
          <w:ilvl w:val="0"/>
          <w:numId w:val="2"/>
        </w:numPr>
        <w:spacing w:after="80"/>
      </w:pPr>
      <w:r>
        <w:rPr>
          <w:b w:val="false"/>
          <w:bCs w:val="false"/>
        </w:rPr>
        <w:t xml:space="preserve">Chennai's real estate boom continues to be driven by Global Capability Centres, the expanding IT sector, and Chennai Metro Phase II developments worth over ₹63,000 crore.</w:t>
      </w:r>
    </w:p>
    <w:p>
      <w:pPr>
        <w:spacing w:after="150"/>
      </w:pPr>
      <w:r>
        <w:rPr>
          <w:i/>
          <w:iCs/>
          <w:color w:val="595959"/>
          <w:sz w:val="18"/>
          <w:szCs w:val="18"/>
        </w:rPr>
        <w:t xml:space="preserve">Sources: Greeham/Verified.RealEstate (Chennai market stability, OMR/GST Road South supply); Brigade Group (Chennai GCC-led boom, Metro Phase II).</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Metro Phase II's ₹63,000 crore development programme continues to be a central driver of the city's commercial and residential growth story, particularly along the OMR and GST Road corridors.</w:t>
      </w:r>
    </w:p>
    <w:p>
      <w:pPr>
        <w:pStyle w:val="ListParagraph"/>
        <w:numPr>
          <w:ilvl w:val="0"/>
          <w:numId w:val="2"/>
        </w:numPr>
        <w:spacing w:after="80"/>
      </w:pPr>
      <w:r>
        <w:rPr>
          <w:b w:val="false"/>
          <w:bCs w:val="false"/>
        </w:rPr>
        <w:t xml:space="preserve">Hyderabad Metro Phase 2 (airport-Old City connectivity) and the Regional Ring Road's southern stretch continue to anchor the city's long-term commercial and industrial growth corridors.</w:t>
      </w:r>
    </w:p>
    <w:p>
      <w:pPr>
        <w:pStyle w:val="ListParagraph"/>
        <w:numPr>
          <w:ilvl w:val="0"/>
          <w:numId w:val="2"/>
        </w:numPr>
        <w:spacing w:after="80"/>
      </w:pPr>
      <w:r>
        <w:rPr>
          <w:b w:val="false"/>
          <w:bCs w:val="false"/>
        </w:rPr>
        <w:t xml:space="preserve">OMR and GST Road South's outsized share of Chennai's new supply (80%+) signals continued developer concentration in the city's established IT- and GCC-linked commercial corridors.</w:t>
      </w:r>
    </w:p>
    <w:p>
      <w:pPr>
        <w:spacing w:after="150"/>
      </w:pPr>
      <w:r>
        <w:rPr>
          <w:i/>
          <w:iCs/>
          <w:color w:val="595959"/>
          <w:sz w:val="18"/>
          <w:szCs w:val="18"/>
        </w:rPr>
        <w:t xml:space="preserve">Sources: Brigade Group (Chennai Metro Phase II); Charan Group Updates (Hyderabad Metro Phase 2, Regional Ring Road); Greeham/Verified.RealEstate.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Under G.O.(Ms).No.126 dated 15 June 2026, Tamil Nadu's Housing and Urban Development Department has entrusted the CMDA with direct power to approve or refuse High Rise Building (HRB) planning permissions, a significant streamlining of Chennai's approval process.</w:t>
      </w:r>
    </w:p>
    <w:p>
      <w:pPr>
        <w:pStyle w:val="ListParagraph"/>
        <w:numPr>
          <w:ilvl w:val="0"/>
          <w:numId w:val="2"/>
        </w:numPr>
        <w:spacing w:after="80"/>
      </w:pPr>
      <w:r>
        <w:rPr>
          <w:b w:val="false"/>
          <w:bCs w:val="false"/>
        </w:rPr>
        <w:t xml:space="preserve">A CMDA circular memo dated 12 May 2026 has explicitly warned officials against red-tapism at any level, emphasising clean and transparent administration in real estate approvals.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spacing w:after="150"/>
      </w:pPr>
      <w:r>
        <w:rPr>
          <w:i/>
          <w:iCs/>
          <w:color w:val="595959"/>
          <w:sz w:val="18"/>
          <w:szCs w:val="18"/>
        </w:rPr>
        <w:t xml:space="preserve">Sources: Verified.RealEstate (CMDA HRB approval authority, red-tapism circular); Business Standard (MoHUA advisory).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Tier-2 cities including Indore, Jaipur and Lucknow are increasingly transforming into major real estate hotspots in 2026, as buyers priced out of skyrocketing metro markets look for more affordable alternatives.</w:t>
      </w:r>
    </w:p>
    <w:p>
      <w:pPr>
        <w:pStyle w:val="ListParagraph"/>
        <w:numPr>
          <w:ilvl w:val="0"/>
          <w:numId w:val="2"/>
        </w:numPr>
        <w:spacing w:after="80"/>
      </w:pPr>
      <w:r>
        <w:rPr>
          <w:b w:val="false"/>
          <w:bCs w:val="false"/>
        </w:rPr>
        <w:t xml:space="preserve">India's luxury housing sector is witnessing a structural shift as branded residences rapidly become a dominant force in the premium real estate landscape nationally.</w:t>
      </w:r>
    </w:p>
    <w:p>
      <w:pPr>
        <w:pStyle w:val="ListParagraph"/>
        <w:numPr>
          <w:ilvl w:val="0"/>
          <w:numId w:val="2"/>
        </w:numPr>
        <w:spacing w:after="80"/>
      </w:pPr>
      <w:r>
        <w:rPr>
          <w:b w:val="false"/>
          <w:bCs w:val="false"/>
        </w:rPr>
        <w:t xml:space="preserve">Chennai's CMDA regulatory streamlining (direct HRB approval authority, anti-red-tapism directives) reflects a broader national trend of state urban-development authorities simplifying approval processes to support residential supply.</w:t>
      </w:r>
    </w:p>
    <w:p>
      <w:pPr>
        <w:spacing w:after="150"/>
      </w:pPr>
      <w:r>
        <w:rPr>
          <w:i/>
          <w:iCs/>
          <w:color w:val="595959"/>
          <w:sz w:val="18"/>
          <w:szCs w:val="18"/>
        </w:rPr>
        <w:t xml:space="preserve">Sources: NAREDCO/Business Standard (Tier-2 city growth, luxury/branded residences); Verified.RealEstate (CMDA reforms).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Adani Cement has announced a strategic partnership with NAREDCO, the apex body representing India's real estate sector, reinforcing continued corporate-industry collaboration on national construction and materials supply chains.</w:t>
      </w:r>
    </w:p>
    <w:p>
      <w:pPr>
        <w:pStyle w:val="ListParagraph"/>
        <w:numPr>
          <w:ilvl w:val="0"/>
          <w:numId w:val="2"/>
        </w:numPr>
        <w:spacing w:after="80"/>
      </w:pPr>
      <w:r>
        <w:rPr>
          <w:b w:val="false"/>
          <w:bCs w:val="false"/>
        </w:rPr>
        <w:t xml:space="preserve">Chennai's ₹63,000 crore Metro Phase II programme and Karnataka's ongoing infrastructure investments (ORR, Bengaluru Business Corridor) together illustrate the scale of transit-linked commercial real estate investment underway across India's major metros.</w:t>
      </w:r>
    </w:p>
    <w:p>
      <w:pPr>
        <w:pStyle w:val="ListParagraph"/>
        <w:numPr>
          <w:ilvl w:val="0"/>
          <w:numId w:val="2"/>
        </w:numPr>
        <w:spacing w:after="80"/>
      </w:pPr>
      <w:r>
        <w:rPr>
          <w:b w:val="false"/>
          <w:bCs w:val="false"/>
        </w:rPr>
        <w:t xml:space="preserve">Tier-2 city growth in Indore, Jaipur and Lucknow is expected to gradually extend commercial and retail real estate demand beyond India's traditional metro hubs over the coming years.</w:t>
      </w:r>
    </w:p>
    <w:p>
      <w:pPr>
        <w:spacing w:after="150"/>
      </w:pPr>
      <w:r>
        <w:rPr>
          <w:i/>
          <w:iCs/>
          <w:color w:val="595959"/>
          <w:sz w:val="18"/>
          <w:szCs w:val="18"/>
        </w:rPr>
        <w:t xml:space="preserve">Sources: NAREDCO/Business Standard (Adani Cement-NAREDCO partnership); Brigade Group; HomeBazaar/PropSoch.</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following TNRERA's formal circular and other state RERA actions.</w:t>
      </w:r>
    </w:p>
    <w:p>
      <w:pPr>
        <w:pStyle w:val="ListParagraph"/>
        <w:numPr>
          <w:ilvl w:val="0"/>
          <w:numId w:val="2"/>
        </w:numPr>
        <w:spacing w:after="80"/>
      </w:pPr>
      <w:r>
        <w:rPr>
          <w:b w:val="false"/>
          <w:bCs w:val="false"/>
        </w:rPr>
        <w:t xml:space="preserve">Tamil Nadu's CMDA reforms — direct HRB approval authority and explicit anti-red-tapism directives — are emerging as a potential template for other states seeking to accelerate real estate approvals nationally.</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Tamil Nadu demonstrates more proactive regulatory streamlining this month.</w:t>
      </w:r>
    </w:p>
    <w:p>
      <w:pPr>
        <w:spacing w:after="150"/>
      </w:pPr>
      <w:r>
        <w:rPr>
          <w:i/>
          <w:iCs/>
          <w:color w:val="595959"/>
          <w:sz w:val="18"/>
          <w:szCs w:val="18"/>
        </w:rPr>
        <w:t xml:space="preserve">Sources: Business Standard; Verified.RealEstate;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2026-08-20T03:41:56.185Z</dcterms:created>
  <dcterms:modified xsi:type="dcterms:W3CDTF">2026-08-20T03:41:56.201Z</dcterms:modified>
</cp:coreProperties>
</file>

<file path=docProps/custom.xml><?xml version="1.0" encoding="utf-8"?>
<Properties xmlns="http://schemas.openxmlformats.org/officeDocument/2006/custom-properties" xmlns:vt="http://schemas.openxmlformats.org/officeDocument/2006/docPropsVTypes"/>
</file>