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Monday, 21 September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HSR Layout has posted a sharp 30% rise in property prices over the past two years, with local brokers now calling it "the next Koramangala" — apartments currently average ₹12,000-14,000 per sq ft, up more than 22% YoY.</w:t>
      </w:r>
    </w:p>
    <w:p>
      <w:pPr>
        <w:pStyle w:val="ListParagraph"/>
        <w:numPr>
          <w:ilvl w:val="0"/>
          <w:numId w:val="2"/>
        </w:numPr>
        <w:spacing w:after="80"/>
      </w:pPr>
      <w:r>
        <w:rPr>
          <w:b w:val="false"/>
          <w:bCs w:val="false"/>
        </w:rPr>
        <w:t xml:space="preserve">Pricing within HSR Layout varies sharply by sector: budget entry points in Sector 4 start around ₹9,000-11,000 per sq ft, while premium Sector 2 pockets command upwards of ₹18,000 per sq ft.</w:t>
      </w:r>
    </w:p>
    <w:p>
      <w:pPr>
        <w:pStyle w:val="ListParagraph"/>
        <w:numPr>
          <w:ilvl w:val="0"/>
          <w:numId w:val="2"/>
        </w:numPr>
        <w:spacing w:after="80"/>
      </w:pPr>
      <w:r>
        <w:rPr>
          <w:b w:val="false"/>
          <w:bCs w:val="false"/>
        </w:rPr>
        <w:t xml:space="preserve">With Koramangala now saturated and expensive, many startups have relocated to HSR Layout, reinforcing strong demand from homebuyers, tenants and corporate occupiers across the corridor.</w:t>
      </w:r>
    </w:p>
    <w:p>
      <w:pPr>
        <w:spacing w:after="150"/>
      </w:pPr>
      <w:r>
        <w:rPr>
          <w:i/>
          <w:iCs/>
          <w:color w:val="595959"/>
          <w:sz w:val="18"/>
          <w:szCs w:val="18"/>
        </w:rPr>
        <w:t xml:space="preserve">Sources: The Hans India/AddressAdvisors (HSR Layout price trends, Koramangala comparison); NxtFootstep (HSR Layout sector-wise pricing).</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 led India's commercial property market in H1 2026, with companies leasing 14.1 million sq ft of office space citywide, reinforcing its position as the country's top office destination.</w:t>
      </w:r>
    </w:p>
    <w:p>
      <w:pPr>
        <w:pStyle w:val="ListParagraph"/>
        <w:numPr>
          <w:ilvl w:val="0"/>
          <w:numId w:val="2"/>
        </w:numPr>
        <w:spacing w:after="80"/>
      </w:pPr>
      <w:r>
        <w:rPr>
          <w:b w:val="false"/>
          <w:bCs w:val="false"/>
        </w:rPr>
        <w:t xml:space="preserve">HSR Layout's continued evolution is being driven by its proximity to Electronic City, Sarjapur Road and the Outer Ring Road IT zones, with the Blue Line metro's HSR station expected around mid-2026 to further boost connectivity.</w:t>
      </w:r>
    </w:p>
    <w:p>
      <w:pPr>
        <w:pStyle w:val="ListParagraph"/>
        <w:numPr>
          <w:ilvl w:val="0"/>
          <w:numId w:val="2"/>
        </w:numPr>
        <w:spacing w:after="80"/>
      </w:pPr>
      <w:r>
        <w:rPr>
          <w:b w:val="false"/>
          <w:bCs w:val="false"/>
        </w:rPr>
        <w:t xml:space="preserve">The startup relocation wave from Koramangala to HSR Layout is reinforcing the corridor's shift toward mixed residential-commercial demand, supporting both office and co-working leasing activity.</w:t>
      </w:r>
    </w:p>
    <w:p>
      <w:pPr>
        <w:spacing w:after="150"/>
      </w:pPr>
      <w:r>
        <w:rPr>
          <w:i/>
          <w:iCs/>
          <w:color w:val="595959"/>
          <w:sz w:val="18"/>
          <w:szCs w:val="18"/>
        </w:rPr>
        <w:t xml:space="preserve">Sources: NoBroker Times (Bengaluru H1 2026 commercial leasing); The Hans India/AddressAdvisors; NxtFootstep.</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The Karnataka Apartment (Ownership and Management) Bill, 2026 (KAOMA), passed by the state legislature in August, remains pending the Governor's assent after clarifications were sought on provisions that would replace the current value-based Undivided Share calculation with an area-only formula.</w:t>
      </w:r>
    </w:p>
    <w:p>
      <w:pPr>
        <w:pStyle w:val="ListParagraph"/>
        <w:numPr>
          <w:ilvl w:val="0"/>
          <w:numId w:val="2"/>
        </w:numPr>
        <w:spacing w:after="80"/>
      </w:pPr>
      <w:r>
        <w:rPr>
          <w:b w:val="false"/>
          <w:bCs w:val="false"/>
        </w:rPr>
        <w:t xml:space="preserve">Karnataka doubled its property registration fee from 1% to 2% effective 31 August 2025 — its first such revision since 2003 — a significant cost change CREDAI Karnataka members continue to factor into buyer affordability discussions.</w:t>
      </w:r>
    </w:p>
    <w:p>
      <w:pPr>
        <w:pStyle w:val="ListParagraph"/>
        <w:numPr>
          <w:ilvl w:val="0"/>
          <w:numId w:val="2"/>
        </w:numPr>
        <w:spacing w:after="80"/>
      </w:pPr>
      <w:r>
        <w:rPr>
          <w:b w:val="false"/>
          <w:bCs w:val="false"/>
        </w:rPr>
        <w:t xml:space="preserve">The Urban Development Department published draft Greater Bengaluru Authority (Parking) Rules, 2026 on 11 August, introducing a new regulatory layer that K-RERA and CREDAI Karnataka are expected to monitor closely for new project compliance.</w:t>
      </w:r>
    </w:p>
    <w:p>
      <w:pPr>
        <w:spacing w:after="150"/>
      </w:pPr>
      <w:r>
        <w:rPr>
          <w:i/>
          <w:iCs/>
          <w:color w:val="595959"/>
          <w:sz w:val="18"/>
          <w:szCs w:val="18"/>
        </w:rPr>
        <w:t xml:space="preserve">Sources: Citizen Matters (KAOMA 2026 UDI formula change); NoBroker Times (registration fee increase, GBA Parking Rules 2026).</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Hyderabad's residential market has officially entered a high-value phase in September 2026, with average property ticket sizes crossing the ₹2 crore mark — a 10% YoY increase — even as transaction volumes show signs of stabilisation.</w:t>
      </w:r>
    </w:p>
    <w:p>
      <w:pPr>
        <w:pStyle w:val="ListParagraph"/>
        <w:numPr>
          <w:ilvl w:val="0"/>
          <w:numId w:val="2"/>
        </w:numPr>
        <w:spacing w:after="80"/>
      </w:pPr>
      <w:r>
        <w:rPr>
          <w:b w:val="false"/>
          <w:bCs w:val="false"/>
        </w:rPr>
        <w:t xml:space="preserve">The sharp rise in prices has made buyers noticeably more cautious, a shift from H1 2026's steadier, modest-growth pattern when Banjara Hills led price appreciation and the office market posted its highest-ever first-half leasing volume.</w:t>
      </w:r>
    </w:p>
    <w:p>
      <w:pPr>
        <w:pStyle w:val="ListParagraph"/>
        <w:numPr>
          <w:ilvl w:val="0"/>
          <w:numId w:val="2"/>
        </w:numPr>
        <w:spacing w:after="80"/>
      </w:pPr>
      <w:r>
        <w:rPr>
          <w:b w:val="false"/>
          <w:bCs w:val="false"/>
        </w:rPr>
        <w:t xml:space="preserve">TGRERA ordered Hyderabad-based Jayathri Infrastructure India to refund ₹11.25 lakh, with 10.80% interest, to a buyer after the developer failed to deliver on a commercial property transaction.</w:t>
      </w:r>
    </w:p>
    <w:p>
      <w:pPr>
        <w:spacing w:after="150"/>
      </w:pPr>
      <w:r>
        <w:rPr>
          <w:i/>
          <w:iCs/>
          <w:color w:val="595959"/>
          <w:sz w:val="18"/>
          <w:szCs w:val="18"/>
        </w:rPr>
        <w:t xml:space="preserve">Sources: Telangana Today/99acres (Hyderabad September 2026 high-value phase, ticket-size data); Great Andhra (TGRERA Jayathri Infrastructure refund order).</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Hyderabad's real estate market is showing a "residential down, commercial up" dynamic, with commercial segment activity strengthening even as residential transaction volumes stabilise amid buyer caution over rising prices.</w:t>
      </w:r>
    </w:p>
    <w:p>
      <w:pPr>
        <w:pStyle w:val="ListParagraph"/>
        <w:numPr>
          <w:ilvl w:val="0"/>
          <w:numId w:val="2"/>
        </w:numPr>
        <w:spacing w:after="80"/>
      </w:pPr>
      <w:r>
        <w:rPr>
          <w:b w:val="false"/>
          <w:bCs w:val="false"/>
        </w:rPr>
        <w:t xml:space="preserve">Indian Bank concluded its Assets Fair 2026 in Somajiguda, Hyderabad on 20-21 September, featuring over 120 residential and commercial properties across multiple zones as a channel for bank-repossessed asset sales.</w:t>
      </w:r>
    </w:p>
    <w:p>
      <w:pPr>
        <w:pStyle w:val="ListParagraph"/>
        <w:numPr>
          <w:ilvl w:val="0"/>
          <w:numId w:val="2"/>
        </w:numPr>
        <w:spacing w:after="80"/>
      </w:pPr>
      <w:r>
        <w:rPr>
          <w:b w:val="false"/>
          <w:bCs w:val="false"/>
        </w:rPr>
        <w:t xml:space="preserve">TGRERA's continued enforcement action against developers like Jayathri Infrastructure reinforces buyer-protection discipline in Telangana's commercial property segment even as the sector navigates a premiumising residential market.</w:t>
      </w:r>
    </w:p>
    <w:p>
      <w:pPr>
        <w:spacing w:after="150"/>
      </w:pPr>
      <w:r>
        <w:rPr>
          <w:i/>
          <w:iCs/>
          <w:color w:val="595959"/>
          <w:sz w:val="18"/>
          <w:szCs w:val="18"/>
        </w:rPr>
        <w:t xml:space="preserve">Sources: Great Andhra (Hyderabad residential-commercial divergence); HyderabadMail (Indian Bank Assets Fair 2026).</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TGRERA's refund order against Jayathri Infrastructure (₹11.25 lakh plus 10.80% interest) adds to the regulator's growing enforcement record on commercial property delivery failures in Hyderabad.</w:t>
      </w:r>
    </w:p>
    <w:p>
      <w:pPr>
        <w:pStyle w:val="ListParagraph"/>
        <w:numPr>
          <w:ilvl w:val="0"/>
          <w:numId w:val="2"/>
        </w:numPr>
        <w:spacing w:after="80"/>
      </w:pPr>
      <w:r>
        <w:rPr>
          <w:b w:val="false"/>
          <w:bCs w:val="false"/>
        </w:rPr>
        <w:t xml:space="preserve">Hyderabad's shift toward a ₹2-crore-plus average ticket size is likely to prompt CREDAI Telangana to weigh how continued premiumisation affects registration volumes and affordability-linked policy discussions.</w:t>
      </w:r>
    </w:p>
    <w:p>
      <w:pPr>
        <w:pStyle w:val="ListParagraph"/>
        <w:numPr>
          <w:ilvl w:val="0"/>
          <w:numId w:val="2"/>
        </w:numPr>
        <w:spacing w:after="80"/>
      </w:pPr>
      <w:r>
        <w:rPr>
          <w:b w:val="false"/>
          <w:bCs w:val="false"/>
        </w:rPr>
        <w:t xml:space="preserve">Continued buyer caution amid Hyderabad's rising prices reinforces the case for transparent TGRERA disclosure standards as the city's residential market matures into its high-value phase.</w:t>
      </w:r>
    </w:p>
    <w:p>
      <w:pPr>
        <w:spacing w:after="150"/>
      </w:pPr>
      <w:r>
        <w:rPr>
          <w:i/>
          <w:iCs/>
          <w:color w:val="595959"/>
          <w:sz w:val="18"/>
          <w:szCs w:val="18"/>
        </w:rPr>
        <w:t xml:space="preserve">Sources: Great Andhra; Telangana Today/99acres.</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PMAY's original mission has been extended to 30 September 2026, while the successor PMAY-U 2.0 runs through 2024-2029, targeting 1 crore additional families with financial assistance of up to ₹2.50 lakh per unit.</w:t>
      </w:r>
    </w:p>
    <w:p>
      <w:pPr>
        <w:pStyle w:val="ListParagraph"/>
        <w:numPr>
          <w:ilvl w:val="0"/>
          <w:numId w:val="2"/>
        </w:numPr>
        <w:spacing w:after="80"/>
      </w:pPr>
      <w:r>
        <w:rPr>
          <w:b w:val="false"/>
          <w:bCs w:val="false"/>
        </w:rPr>
        <w:t xml:space="preserve">The Union Budget 2026-27 allocated ₹85,522 crore to the Ministry of Housing and Urban Affairs, with PMAY-U 2.0 receiving a 182% budget increase over FY26 revised estimates — a major demand-side boost for affordable housing nationally.</w:t>
      </w:r>
    </w:p>
    <w:p>
      <w:pPr>
        <w:pStyle w:val="ListParagraph"/>
        <w:numPr>
          <w:ilvl w:val="0"/>
          <w:numId w:val="2"/>
        </w:numPr>
        <w:spacing w:after="80"/>
      </w:pPr>
      <w:r>
        <w:rPr>
          <w:b w:val="false"/>
          <w:bCs w:val="false"/>
        </w:rPr>
        <w:t xml:space="preserve">As of December 2025, a cumulative 9.63 million urban homes had been completed and 12.22 million sanctioned under the PMAY programme, reflecting one of the world's largest affordable-housing delivery efforts.</w:t>
      </w:r>
    </w:p>
    <w:p>
      <w:pPr>
        <w:spacing w:after="150"/>
      </w:pPr>
      <w:r>
        <w:rPr>
          <w:i/>
          <w:iCs/>
          <w:color w:val="595959"/>
          <w:sz w:val="18"/>
          <w:szCs w:val="18"/>
        </w:rPr>
        <w:t xml:space="preserve">Sources: Striveedge IAS/PIB Snippets (PMAY extension, PMAY-U 2.0 targets); Whalesbook/Keystone Real Estate Advisory (Budget 2026-27 allocation, cumulative PMAY delivery).</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PNB Housing Finance inaugurated Eastern India's first PMAY Nodal Branch in Siliguri, West Bengal on 17 September 2026, expanding affordable-housing finance outreach specifically under PMAY-U 2.0.</w:t>
      </w:r>
    </w:p>
    <w:p>
      <w:pPr>
        <w:pStyle w:val="ListParagraph"/>
        <w:numPr>
          <w:ilvl w:val="0"/>
          <w:numId w:val="2"/>
        </w:numPr>
        <w:spacing w:after="80"/>
      </w:pPr>
      <w:r>
        <w:rPr>
          <w:b w:val="false"/>
          <w:bCs w:val="false"/>
        </w:rPr>
        <w:t xml:space="preserve">The scheme continues to operate through multiple implementation verticals — Beneficiary-Led Construction (BLC), Affordable Housing in Partnership (AHP) and Affordable Rental Housing (ARH) — targeting EWS, LIG and MIG segments nationally.</w:t>
      </w:r>
    </w:p>
    <w:p>
      <w:pPr>
        <w:pStyle w:val="ListParagraph"/>
        <w:numPr>
          <w:ilvl w:val="0"/>
          <w:numId w:val="2"/>
        </w:numPr>
        <w:spacing w:after="80"/>
      </w:pPr>
      <w:r>
        <w:rPr>
          <w:b w:val="false"/>
          <w:bCs w:val="false"/>
        </w:rPr>
        <w:t xml:space="preserve">Continued PMAY-U 2.0 budget expansion reinforces the government's affordable-housing push even as premium and luxury segments continue to outpace affordable supply in major cities like Hyderabad and Bengaluru.</w:t>
      </w:r>
    </w:p>
    <w:p>
      <w:pPr>
        <w:spacing w:after="150"/>
      </w:pPr>
      <w:r>
        <w:rPr>
          <w:i/>
          <w:iCs/>
          <w:color w:val="595959"/>
          <w:sz w:val="18"/>
          <w:szCs w:val="18"/>
        </w:rPr>
        <w:t xml:space="preserve">Sources: MENAFN (PNB Housing Finance Siliguri PMAY branch); Striveedge IAS/PIB Snippets.</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182% PMAY-U 2.0 budget increase is expected to be welcomed by CREDAI and NAREDCO as a significant demand-side boost for the affordable and mid-income housing segments nationally.</w:t>
      </w:r>
    </w:p>
    <w:p>
      <w:pPr>
        <w:pStyle w:val="ListParagraph"/>
        <w:numPr>
          <w:ilvl w:val="0"/>
          <w:numId w:val="2"/>
        </w:numPr>
        <w:spacing w:after="80"/>
      </w:pPr>
      <w:r>
        <w:rPr>
          <w:b w:val="false"/>
          <w:bCs w:val="false"/>
        </w:rPr>
        <w:t xml:space="preserve">Karnataka's KAOMA 2026 (pending Governor's assent) and Telangana's continued TGRERA enforcement actions illustrate the ongoing, state-by-state evolution of buyer-protection and ownership-rights frameworks nationally.</w:t>
      </w:r>
    </w:p>
    <w:p>
      <w:pPr>
        <w:pStyle w:val="ListParagraph"/>
        <w:numPr>
          <w:ilvl w:val="0"/>
          <w:numId w:val="2"/>
        </w:numPr>
        <w:spacing w:after="80"/>
      </w:pPr>
      <w:r>
        <w:rPr>
          <w:b w:val="false"/>
          <w:bCs w:val="false"/>
        </w:rPr>
        <w:t xml:space="preserve">Continued PMAY-U 2.0 rollout, alongside new nodal-branch expansion into Eastern India, reinforces national affordable-housing financing infrastructure even as premiumisation trends dominate headline city markets like Hyderabad and Bengaluru.</w:t>
      </w:r>
    </w:p>
    <w:p>
      <w:pPr>
        <w:spacing w:after="150"/>
      </w:pPr>
      <w:r>
        <w:rPr>
          <w:i/>
          <w:iCs/>
          <w:color w:val="595959"/>
          <w:sz w:val="18"/>
          <w:szCs w:val="18"/>
        </w:rPr>
        <w:t xml:space="preserve">Sources: Whalesbook/Keystone Real Estate Advisory; Citizen Matters; Great Andhra.</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2026-09-21T03:38:07.444Z</dcterms:created>
  <dcterms:modified xsi:type="dcterms:W3CDTF">2026-09-21T03:38:07.453Z</dcterms:modified>
</cp:coreProperties>
</file>

<file path=docProps/custom.xml><?xml version="1.0" encoding="utf-8"?>
<Properties xmlns="http://schemas.openxmlformats.org/officeDocument/2006/custom-properties" xmlns:vt="http://schemas.openxmlformats.org/officeDocument/2006/docPropsVTypes"/>
</file>