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Friday, 14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recorded 27,968 housing sales in H1 2026, up 5% YoY, while new launches rose 4% YoY to 34,749 units, reflecting continued steady demand even as the market matures.</w:t>
      </w:r>
    </w:p>
    <w:p>
      <w:pPr>
        <w:pStyle w:val="ListParagraph"/>
        <w:numPr>
          <w:ilvl w:val="0"/>
          <w:numId w:val="2"/>
        </w:numPr>
        <w:spacing w:after="80"/>
      </w:pPr>
      <w:r>
        <w:rPr>
          <w:b w:val="false"/>
          <w:bCs w:val="false"/>
        </w:rPr>
        <w:t xml:space="preserve">The Bengaluru-Chennai Expressway, nearing 50% completion with ₹17,000 crore invested so far, is expected to boost East Bengaluru property rates as the ₹18,000 crore, 262 km corridor progresses toward full operation.</w:t>
      </w:r>
    </w:p>
    <w:p>
      <w:pPr>
        <w:pStyle w:val="ListParagraph"/>
        <w:numPr>
          <w:ilvl w:val="0"/>
          <w:numId w:val="2"/>
        </w:numPr>
        <w:spacing w:after="80"/>
      </w:pPr>
      <w:r>
        <w:rPr>
          <w:b w:val="false"/>
          <w:bCs w:val="false"/>
        </w:rPr>
        <w:t xml:space="preserve">Hoskote, positioned at the heart of the expressway corridor, is emerging as a key residential, industrial and commercial hotspot, alongside continued momentum in established corridors like Whitefield and Sarjapur Road.</w:t>
      </w:r>
    </w:p>
    <w:p>
      <w:pPr>
        <w:spacing w:after="150"/>
      </w:pPr>
      <w:r>
        <w:rPr>
          <w:i/>
          <w:iCs/>
          <w:color w:val="595959"/>
          <w:sz w:val="18"/>
          <w:szCs w:val="18"/>
        </w:rPr>
        <w:t xml:space="preserve">Sources: Cushman &amp; Wakefield Bengaluru MarketBeat (H1 2026 sales/launches); TradeBrains/PropNewsTime (Bengaluru-Chennai Expressway progress and price impact).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warehousing and industrial market recorded strong momentum in H1 2026, with warehouse leasing reaching 3.1 million sq ft, driven by robust demand from 3PL operators, e-commerce companies and manufacturing firms; Nelamangala, Dabaspete and Hoskote emerged as the leading warehousing hubs.</w:t>
      </w:r>
    </w:p>
    <w:p>
      <w:pPr>
        <w:pStyle w:val="ListParagraph"/>
        <w:numPr>
          <w:ilvl w:val="0"/>
          <w:numId w:val="2"/>
        </w:numPr>
        <w:spacing w:after="80"/>
      </w:pPr>
      <w:r>
        <w:rPr>
          <w:b w:val="false"/>
          <w:bCs w:val="false"/>
        </w:rPr>
        <w:t xml:space="preserve">Bengaluru's retail leasing rose 19% QoQ and 42% YoY to ~0.25 million sq ft in Q2 2026, with main-street retail commanding a 68% share on strong activity in Indiranagar, Brigade Road, Koramangala and Sarjapur Road.</w:t>
      </w:r>
    </w:p>
    <w:p>
      <w:pPr>
        <w:pStyle w:val="ListParagraph"/>
        <w:numPr>
          <w:ilvl w:val="0"/>
          <w:numId w:val="2"/>
        </w:numPr>
        <w:spacing w:after="80"/>
      </w:pPr>
      <w:r>
        <w:rPr>
          <w:b w:val="false"/>
          <w:bCs w:val="false"/>
        </w:rPr>
        <w:t xml:space="preserve">The Bengaluru-Chennai Expressway is expected to unlock significant new industrial and logistics real estate along its corridor, reinforcing Hoskote and neighbouring belts as an emerging warehousing and manufacturing destination.</w:t>
      </w:r>
    </w:p>
    <w:p>
      <w:pPr>
        <w:spacing w:after="150"/>
      </w:pPr>
      <w:r>
        <w:rPr>
          <w:i/>
          <w:iCs/>
          <w:color w:val="595959"/>
          <w:sz w:val="18"/>
          <w:szCs w:val="18"/>
        </w:rPr>
        <w:t xml:space="preserve">Sources: NoBroker Times/Cushman &amp; Wakefield (H1 2026 warehousing); Cushman &amp; Wakefield Bengaluru MarketBeat (retail leasing); TradeBrains (expressway industrial impact).</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Greater Bengaluru Authority (GBA) has formally replaced the BBMP structure, introducing a single-window building-approval system where structural permissions, land use, water connections and RERA compliance are processed together instead of through separate agencies.</w:t>
      </w:r>
    </w:p>
    <w:p>
      <w:pPr>
        <w:pStyle w:val="ListParagraph"/>
        <w:numPr>
          <w:ilvl w:val="0"/>
          <w:numId w:val="2"/>
        </w:numPr>
        <w:spacing w:after="80"/>
      </w:pPr>
      <w:r>
        <w:rPr>
          <w:b w:val="false"/>
          <w:bCs w:val="false"/>
        </w:rPr>
        <w:t xml:space="preserve">Elections to the GBA's five newly constituted city corporations are expected by August 2026, marking the biggest restructuring of Bengaluru's urban administration since BBMP's creation in 2007.</w:t>
      </w:r>
    </w:p>
    <w:p>
      <w:pPr>
        <w:pStyle w:val="ListParagraph"/>
        <w:numPr>
          <w:ilvl w:val="0"/>
          <w:numId w:val="2"/>
        </w:numPr>
        <w:spacing w:after="80"/>
      </w:pPr>
      <w:r>
        <w:rPr>
          <w:b w:val="false"/>
          <w:bCs w:val="false"/>
        </w:rPr>
        <w:t xml:space="preserve">CREDAI Karnataka continues to track the BBMP-to-GBA transition's implications for developer approvals and compliance timelines, even as K-RERA continues to operate without a permanent chairman.</w:t>
      </w:r>
    </w:p>
    <w:p>
      <w:pPr>
        <w:spacing w:after="150"/>
      </w:pPr>
      <w:r>
        <w:rPr>
          <w:i/>
          <w:iCs/>
          <w:color w:val="595959"/>
          <w:sz w:val="18"/>
          <w:szCs w:val="18"/>
        </w:rPr>
        <w:t xml:space="preserve">Sources: Brigade Group/Indecimal (GBA single-window approvals); Wikipedia/BookNewProperty (GBA elections, restructuring timeline); Deccan Herald (K-RERA chairman vacancy).</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Bengaluru-Chennai Expressway corridor is transforming South India's real estate landscape, with plot rates in Sriperumbudur up 70–100% over five years (from ₹900–1,200 to ₹1,900–2,800 per sq ft) and Oragadam belt plotted developments up 20–40% in recent years.</w:t>
      </w:r>
    </w:p>
    <w:p>
      <w:pPr>
        <w:pStyle w:val="ListParagraph"/>
        <w:numPr>
          <w:ilvl w:val="0"/>
          <w:numId w:val="2"/>
        </w:numPr>
        <w:spacing w:after="80"/>
      </w:pPr>
      <w:r>
        <w:rPr>
          <w:b w:val="false"/>
          <w:bCs w:val="false"/>
        </w:rPr>
        <w:t xml:space="preserve">Industry experts project a further 30–50% land-price appreciation once the ₹18,000 crore expressway becomes fully operational, with Hoskote, Malur, Chittoor and Sriperumbudur emerging as key hotspots along the 262 km route.</w:t>
      </w:r>
    </w:p>
    <w:p>
      <w:pPr>
        <w:pStyle w:val="ListParagraph"/>
        <w:numPr>
          <w:ilvl w:val="0"/>
          <w:numId w:val="2"/>
        </w:numPr>
        <w:spacing w:after="80"/>
      </w:pPr>
      <w:r>
        <w:rPr>
          <w:b w:val="false"/>
          <w:bCs w:val="false"/>
        </w:rPr>
        <w:t xml:space="preserve">Tamil Nadu's cities along the Bengaluru-Chennai Industrial Corridor are experiencing broad-based growth, with the corridor's approaching mid-to-late-2026 operational date (cutting travel time from 5–6 hours to roughly 3 hours) accelerating residential and industrial investment.</w:t>
      </w:r>
    </w:p>
    <w:p>
      <w:pPr>
        <w:spacing w:after="150"/>
      </w:pPr>
      <w:r>
        <w:rPr>
          <w:i/>
          <w:iCs/>
          <w:color w:val="595959"/>
          <w:sz w:val="18"/>
          <w:szCs w:val="18"/>
        </w:rPr>
        <w:t xml:space="preserve">Sources: TradeBrains (expressway land-price trends); Lancor (Sriperumbudur); Verified.RealEstate (Tamil Nadu industrial corridor cities).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Some projects along the Bengaluru-Chennai Expressway corridor have seen prices rise from ₹3,000–4,000 per sq ft a few years ago to ₹6,500–7,500 per sq ft currently, reflecting strong commercial and industrial land appreciation ahead of the corridor's completion.</w:t>
      </w:r>
    </w:p>
    <w:p>
      <w:pPr>
        <w:pStyle w:val="ListParagraph"/>
        <w:numPr>
          <w:ilvl w:val="0"/>
          <w:numId w:val="2"/>
        </w:numPr>
        <w:spacing w:after="80"/>
      </w:pPr>
      <w:r>
        <w:rPr>
          <w:b w:val="false"/>
          <w:bCs w:val="false"/>
        </w:rPr>
        <w:t xml:space="preserve">The expressway's near-50% completion status (₹17,000 crore invested against a ₹18,000 crore budget) signals the corridor entering its final construction phase, with full operations expected to further catalyse logistics and industrial real estate demand.</w:t>
      </w:r>
    </w:p>
    <w:p>
      <w:pPr>
        <w:pStyle w:val="ListParagraph"/>
        <w:numPr>
          <w:ilvl w:val="0"/>
          <w:numId w:val="2"/>
        </w:numPr>
        <w:spacing w:after="80"/>
      </w:pPr>
      <w:r>
        <w:rPr>
          <w:b w:val="false"/>
          <w:bCs w:val="false"/>
        </w:rPr>
        <w:t xml:space="preserve">Analysts project 50%+ appreciation by 2028 in corridor-adjacent commercial and industrial land, with the nearby Parandur Airport project adding further momentum to the region's growth story.</w:t>
      </w:r>
    </w:p>
    <w:p>
      <w:pPr>
        <w:spacing w:after="150"/>
      </w:pPr>
      <w:r>
        <w:rPr>
          <w:i/>
          <w:iCs/>
          <w:color w:val="595959"/>
          <w:sz w:val="18"/>
          <w:szCs w:val="18"/>
        </w:rPr>
        <w:t xml:space="preserve">Sources: TradeBrains (expressway price trends, 2028 projections); PropNewsTime (expressway completion status).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South Indian developer bodies are increasingly focused on cross-state infrastructure corridors like the Bengaluru-Chennai Expressway, which touches both Karnataka's and Tamil Nadu's RERA jurisdictions as new townships and industrial parks come up along the route.</w:t>
      </w:r>
    </w:p>
    <w:p>
      <w:pPr>
        <w:pStyle w:val="ListParagraph"/>
        <w:numPr>
          <w:ilvl w:val="0"/>
          <w:numId w:val="2"/>
        </w:numPr>
        <w:spacing w:after="80"/>
      </w:pPr>
      <w:r>
        <w:rPr>
          <w:b w:val="false"/>
          <w:bCs w:val="false"/>
        </w:rPr>
        <w:t xml:space="preserve">CREDAI chapters in Tamil Nadu continue to monitor Karnataka's GBA transition as a potential governance model for streamlining multi-agency approvals, including RERA compliance, in their own fast-growing corridor towns.</w:t>
      </w:r>
    </w:p>
    <w:p>
      <w:pPr>
        <w:spacing w:after="150"/>
      </w:pPr>
      <w:r>
        <w:rPr>
          <w:i/>
          <w:iCs/>
          <w:color w:val="595959"/>
          <w:sz w:val="18"/>
          <w:szCs w:val="18"/>
        </w:rPr>
        <w:t xml:space="preserve">Sources: Business Standard (MoHUA advisory); TradeBrains; Brigade Group/Indecimal (GBA single-window model).</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H1 2026 residential performance (27,968 sales, +5% YoY; 34,749 launches, +4% YoY) continues to anchor India's broader residential growth story even as individual city trajectories diverge.</w:t>
      </w:r>
    </w:p>
    <w:p>
      <w:pPr>
        <w:pStyle w:val="ListParagraph"/>
        <w:numPr>
          <w:ilvl w:val="0"/>
          <w:numId w:val="2"/>
        </w:numPr>
        <w:spacing w:after="80"/>
      </w:pPr>
      <w:r>
        <w:rPr>
          <w:b w:val="false"/>
          <w:bCs w:val="false"/>
        </w:rPr>
        <w:t xml:space="preserve">Infrastructure-led corridors are increasingly driving national residential demand, with the Bengaluru-Chennai Expressway exemplifying how mega-infrastructure projects can reshape property markets across state lines.</w:t>
      </w:r>
    </w:p>
    <w:p>
      <w:pPr>
        <w:pStyle w:val="ListParagraph"/>
        <w:numPr>
          <w:ilvl w:val="0"/>
          <w:numId w:val="2"/>
        </w:numPr>
        <w:spacing w:after="80"/>
      </w:pPr>
      <w:r>
        <w:rPr>
          <w:b w:val="false"/>
          <w:bCs w:val="false"/>
        </w:rPr>
        <w:t xml:space="preserve">Governance modernisation — illustrated by Karnataka's BBMP-to-GBA transition and its single-window approval system spanning RERA compliance — is emerging as a template other rapidly urbanising states may examine as they manage similar administrative complexity.</w:t>
      </w:r>
    </w:p>
    <w:p>
      <w:pPr>
        <w:spacing w:after="150"/>
      </w:pPr>
      <w:r>
        <w:rPr>
          <w:i/>
          <w:iCs/>
          <w:color w:val="595959"/>
          <w:sz w:val="18"/>
          <w:szCs w:val="18"/>
        </w:rPr>
        <w:t xml:space="preserve">Sources: Cushman &amp; Wakefield Bengaluru MarketBeat; TradeBrains; Brigade Group/Indecimal.</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warehousing and industrial leasing (3.1 million sq ft in H1 2026) and the Bengaluru-Chennai Expressway's industrial-corridor buildout together illustrate the growing national importance of logistics and manufacturing-linked real estate.</w:t>
      </w:r>
    </w:p>
    <w:p>
      <w:pPr>
        <w:pStyle w:val="ListParagraph"/>
        <w:numPr>
          <w:ilvl w:val="0"/>
          <w:numId w:val="2"/>
        </w:numPr>
        <w:spacing w:after="80"/>
      </w:pPr>
      <w:r>
        <w:rPr>
          <w:b w:val="false"/>
          <w:bCs w:val="false"/>
        </w:rPr>
        <w:t xml:space="preserve">The ₹18,000 crore Bengaluru-Chennai Expressway is one of several mega infrastructure corridors nationally expected to unlock significant new commercial and industrial real estate value as India's highway and expressway network expands.</w:t>
      </w:r>
    </w:p>
    <w:p>
      <w:pPr>
        <w:pStyle w:val="ListParagraph"/>
        <w:numPr>
          <w:ilvl w:val="0"/>
          <w:numId w:val="2"/>
        </w:numPr>
        <w:spacing w:after="80"/>
      </w:pPr>
      <w:r>
        <w:rPr>
          <w:b w:val="false"/>
          <w:bCs w:val="false"/>
        </w:rPr>
        <w:t xml:space="preserve">Retail leasing momentum in Bengaluru (+42% YoY in Q2 2026) points to a broader national trend of consumer-facing real estate outperforming in select metros even as office-leasing growth moderates in some markets.</w:t>
      </w:r>
    </w:p>
    <w:p>
      <w:pPr>
        <w:spacing w:after="150"/>
      </w:pPr>
      <w:r>
        <w:rPr>
          <w:i/>
          <w:iCs/>
          <w:color w:val="595959"/>
          <w:sz w:val="18"/>
          <w:szCs w:val="18"/>
        </w:rPr>
        <w:t xml:space="preserve">Sources: NoBroker Times/Cushman &amp; Wakefield; TradeBrains/PropNewsTime; Cushman &amp; Wakefield Bengaluru MarketBeat.</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nationally amid West Asia conflict-linked supply-chain disruptions.</w:t>
      </w:r>
    </w:p>
    <w:p>
      <w:pPr>
        <w:pStyle w:val="ListParagraph"/>
        <w:numPr>
          <w:ilvl w:val="0"/>
          <w:numId w:val="2"/>
        </w:numPr>
        <w:spacing w:after="80"/>
      </w:pPr>
      <w:r>
        <w:rPr>
          <w:b w:val="false"/>
          <w:bCs w:val="false"/>
        </w:rPr>
        <w:t xml:space="preserve">Karnataka's Greater Bengaluru Authority transition — including its single-window system covering RERA compliance alongside structural and land-use approvals — is being closely watched as a potential governance model for other rapidly urbanising states.</w:t>
      </w:r>
    </w:p>
    <w:p>
      <w:pPr>
        <w:pStyle w:val="ListParagraph"/>
        <w:numPr>
          <w:ilvl w:val="0"/>
          <w:numId w:val="2"/>
        </w:numPr>
        <w:spacing w:after="80"/>
      </w:pPr>
      <w:r>
        <w:rPr>
          <w:b w:val="false"/>
          <w:bCs w:val="false"/>
        </w:rPr>
        <w:t xml:space="preserve">CREDAI continues to track how large cross-state infrastructure projects like the Bengaluru-Chennai Expressway intersect with multiple state RERA jurisdictions, an increasingly relevant consideration as more such corridors come online nationally.</w:t>
      </w:r>
    </w:p>
    <w:p>
      <w:pPr>
        <w:spacing w:after="150"/>
      </w:pPr>
      <w:r>
        <w:rPr>
          <w:i/>
          <w:iCs/>
          <w:color w:val="595959"/>
          <w:sz w:val="18"/>
          <w:szCs w:val="18"/>
        </w:rPr>
        <w:t xml:space="preserve">Sources: Business Standard; Brigade Group/Indecimal (GBA); TradeBrains.</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2026-08-14T03:41:48.907Z</dcterms:created>
  <dcterms:modified xsi:type="dcterms:W3CDTF">2026-08-14T03:41:48.929Z</dcterms:modified>
</cp:coreProperties>
</file>

<file path=docProps/custom.xml><?xml version="1.0" encoding="utf-8"?>
<Properties xmlns="http://schemas.openxmlformats.org/officeDocument/2006/custom-properties" xmlns:vt="http://schemas.openxmlformats.org/officeDocument/2006/docPropsVTypes"/>
</file>