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Sunday, 18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Kengeri's apartment listings average around ₹9,150 per sq ft, with BDA-pattern sites priced between ₹30-45 lakh, reflecting roughly 9.6% price growth over the past year per 99acres data cited in a mid-2026 buyer guide.</w:t>
      </w:r>
    </w:p>
    <w:p>
      <w:pPr>
        <w:pStyle w:val="ListParagraph"/>
        <w:numPr>
          <w:ilvl w:val="0"/>
          <w:numId w:val="2"/>
        </w:numPr>
        <w:spacing w:after="80"/>
      </w:pPr>
      <w:r>
        <w:rPr>
          <w:b w:val="false"/>
          <w:bCs w:val="false"/>
        </w:rPr>
        <w:t xml:space="preserve">Rajarajeshwari Nagar (RR Nagar), off Mysore Road, is described as a settled, mid-market West Bengaluru locality with its own Purple Line station and quick NICE Road access, though it remains distant from the Whitefield and Outer Ring Road job hubs.</w:t>
      </w:r>
    </w:p>
    <w:p>
      <w:pPr>
        <w:pStyle w:val="ListParagraph"/>
        <w:numPr>
          <w:ilvl w:val="0"/>
          <w:numId w:val="2"/>
        </w:numPr>
        <w:spacing w:after="80"/>
      </w:pPr>
      <w:r>
        <w:rPr>
          <w:b w:val="false"/>
          <w:bCs w:val="false"/>
        </w:rPr>
        <w:t xml:space="preserve">Both Kengeri and RR Nagar continue to be positioned as West Bengaluru's more affordable entry points, serving buyers whose employment is concentrated in the city's west or south-west rather than the traditional eastern IT corridor.</w:t>
      </w:r>
    </w:p>
    <w:p>
      <w:pPr>
        <w:spacing w:after="150"/>
      </w:pPr>
      <w:r>
        <w:rPr>
          <w:i/>
          <w:iCs/>
          <w:color w:val="595959"/>
          <w:sz w:val="18"/>
          <w:szCs w:val="18"/>
        </w:rPr>
        <w:t xml:space="preserve">Sources: PropNewz (Kengeri, RR Nagar 2026 buyer guides, 99acres pricing data); Housing.com (RR Nagar locality trends).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A proposed Purple Line Phase II metro extension along the Kengeri-Mysore Road stretch continues to be treated by housing portals as a key development trigger for the corridor, alongside planned Mysore Road and Outer Ring Road infrastructure upgrades.</w:t>
      </w:r>
    </w:p>
    <w:p>
      <w:pPr>
        <w:pStyle w:val="ListParagraph"/>
        <w:numPr>
          <w:ilvl w:val="0"/>
          <w:numId w:val="2"/>
        </w:numPr>
        <w:spacing w:after="80"/>
      </w:pPr>
      <w:r>
        <w:rPr>
          <w:b w:val="false"/>
          <w:bCs w:val="false"/>
        </w:rPr>
        <w:t xml:space="preserve">Brigade Enterprises has formed a 50-50 joint venture with Bain Capital for a 10.8-acre commercial office and hotel project in Whitefield, part of a Q4 FY26 launch push aimed at catching up on previously delayed project timelines.</w:t>
      </w:r>
    </w:p>
    <w:p>
      <w:pPr>
        <w:pStyle w:val="ListParagraph"/>
        <w:numPr>
          <w:ilvl w:val="0"/>
          <w:numId w:val="2"/>
        </w:numPr>
        <w:spacing w:after="80"/>
      </w:pPr>
      <w:r>
        <w:rPr>
          <w:b w:val="false"/>
          <w:bCs w:val="false"/>
        </w:rPr>
        <w:t xml:space="preserve">Prestige Estates recorded FY26 sales of roughly ₹30,024.5 crore, with its entire Q4 FY26 launch pipeline — including Evergreen at Prestige Raintree Park (4.76 million sq ft) and Eaton Park Fernvale — concentrated in Bengaluru.</w:t>
      </w:r>
    </w:p>
    <w:p>
      <w:pPr>
        <w:spacing w:after="150"/>
      </w:pPr>
      <w:r>
        <w:rPr>
          <w:i/>
          <w:iCs/>
          <w:color w:val="595959"/>
          <w:sz w:val="18"/>
          <w:szCs w:val="18"/>
        </w:rPr>
        <w:t xml:space="preserve">Sources: PropNewz (Purple Line Phase II corridor commentary, Prestige FY26 sales and launch pipeline, Brigade-Bain Capital Whitefield JV).</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Bengaluru's project-approval friction is reportedly being driven by a combination of K-RERA throughput constraints and the transition effects of BBMP's reorganisation into the Greater Bengaluru Authority (GBA), a dynamic that could push some launches into later months.</w:t>
      </w:r>
    </w:p>
    <w:p>
      <w:pPr>
        <w:pStyle w:val="ListParagraph"/>
        <w:numPr>
          <w:ilvl w:val="0"/>
          <w:numId w:val="2"/>
        </w:numPr>
        <w:spacing w:after="80"/>
      </w:pPr>
      <w:r>
        <w:rPr>
          <w:b w:val="false"/>
          <w:bCs w:val="false"/>
        </w:rPr>
        <w:t xml:space="preserve">CREDAI Karnataka members are likely to watch how Prestige's and Brigade's concentrated Q4 FY26 Bengaluru launch pipelines are registered under K-RERA amid these approval-throughput constraints.</w:t>
      </w:r>
    </w:p>
    <w:p>
      <w:pPr>
        <w:pStyle w:val="ListParagraph"/>
        <w:numPr>
          <w:ilvl w:val="0"/>
          <w:numId w:val="2"/>
        </w:numPr>
        <w:spacing w:after="80"/>
      </w:pPr>
      <w:r>
        <w:rPr>
          <w:b w:val="false"/>
          <w:bCs w:val="false"/>
        </w:rPr>
        <w:t xml:space="preserve">With Kengeri and RR Nagar's Purple Line-linked development continuing to depend on a yet-unconfirmed Phase II extension, CREDAI Karnataka members in West Bengaluru are expected to remain cautious about tying new launches explicitly to the metro's timeline.</w:t>
      </w:r>
    </w:p>
    <w:p>
      <w:pPr>
        <w:spacing w:after="150"/>
      </w:pPr>
      <w:r>
        <w:rPr>
          <w:i/>
          <w:iCs/>
          <w:color w:val="595959"/>
          <w:sz w:val="18"/>
          <w:szCs w:val="18"/>
        </w:rPr>
        <w:t xml:space="preserve">Sources: PropNewz (K-RERA/GBA approval friction commentary); PropNewz (Prestige, Brigade launch pipeline).</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Thiruvananthapuram flat prices range roughly ₹5,500-9,000 per sq ft across the city's main residential areas per a 28 September 2026 report, with Kazhakoottam's rental market kept deep by Technopark's base of over 540 companies and 84,000-plus professionals.</w:t>
      </w:r>
    </w:p>
    <w:p>
      <w:pPr>
        <w:pStyle w:val="ListParagraph"/>
        <w:numPr>
          <w:ilvl w:val="0"/>
          <w:numId w:val="2"/>
        </w:numPr>
        <w:spacing w:after="80"/>
      </w:pPr>
      <w:r>
        <w:rPr>
          <w:b w:val="false"/>
          <w:bCs w:val="false"/>
        </w:rPr>
        <w:t xml:space="preserve">Thiruvananthapuram led Kerala in K-RERA residential unit registrations with 2,987 units (2024 data, the most recent breakdown available), a trend attributed mainly to NRI investment and professionals relocating from neighbouring states.</w:t>
      </w:r>
    </w:p>
    <w:p>
      <w:pPr>
        <w:pStyle w:val="ListParagraph"/>
        <w:numPr>
          <w:ilvl w:val="0"/>
          <w:numId w:val="2"/>
        </w:numPr>
        <w:spacing w:after="80"/>
      </w:pPr>
      <w:r>
        <w:rPr>
          <w:b w:val="false"/>
          <w:bCs w:val="false"/>
        </w:rPr>
        <w:t xml:space="preserve">The Thiruvananthapuram Corporation has inaugurated 128 affordable flats at Karimadom Colony, adding to the city's public affordable-housing stock alongside continued private-market activity in the Technopark corridor.</w:t>
      </w:r>
    </w:p>
    <w:p>
      <w:pPr>
        <w:spacing w:after="150"/>
      </w:pPr>
      <w:r>
        <w:rPr>
          <w:i/>
          <w:iCs/>
          <w:color w:val="595959"/>
          <w:sz w:val="18"/>
          <w:szCs w:val="18"/>
        </w:rPr>
        <w:t xml:space="preserve">Sources: RealtyHunting (28 September 2026 Thiruvananthapuram pricing, Technopark employment base); Therealtytoday (2024 K-RERA registration leadership, NRI/relocation demand drivers); Ghar.tv (Karimadom Colony affordable flats).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Vizhinjam International Seaport set a monthly record of roughly 1.31 lakh TEUs in May 2026, though market commentary notes the port's effect on Thiruvananthapuram's housing market so far remains more anticipatory than reflected in transaction data.</w:t>
      </w:r>
    </w:p>
    <w:p>
      <w:pPr>
        <w:pStyle w:val="ListParagraph"/>
        <w:numPr>
          <w:ilvl w:val="0"/>
          <w:numId w:val="2"/>
        </w:numPr>
        <w:spacing w:after="80"/>
      </w:pPr>
      <w:r>
        <w:rPr>
          <w:b w:val="false"/>
          <w:bCs w:val="false"/>
        </w:rPr>
        <w:t xml:space="preserve">A proposed metro system, the NH66 highway upgrade, and the Vizhinjam port expansion are collectively cited by developers as the three principal long-term value-add infrastructure factors for Thiruvananthapuram's property market.</w:t>
      </w:r>
    </w:p>
    <w:p>
      <w:pPr>
        <w:pStyle w:val="ListParagraph"/>
        <w:numPr>
          <w:ilvl w:val="0"/>
          <w:numId w:val="2"/>
        </w:numPr>
        <w:spacing w:after="80"/>
      </w:pPr>
      <w:r>
        <w:rPr>
          <w:b w:val="false"/>
          <w:bCs w:val="false"/>
        </w:rPr>
        <w:t xml:space="preserve">Technopark's continued expansion as South Kerala's primary IT employment hub remains the dominant driver of sustained commercial and rental demand in the Kazhakoottam micro-market.</w:t>
      </w:r>
    </w:p>
    <w:p>
      <w:pPr>
        <w:spacing w:after="150"/>
      </w:pPr>
      <w:r>
        <w:rPr>
          <w:i/>
          <w:iCs/>
          <w:color w:val="595959"/>
          <w:sz w:val="18"/>
          <w:szCs w:val="18"/>
        </w:rPr>
        <w:t xml:space="preserve">Sources: RealtyHunting (Vizhinjam port TEU record); Sobha (metro/NH66/Vizhinjam port value-add factors).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Kerala's Thiruvananthapuram chapter is likely to view Vizhinjam port's record container volumes and Technopark's sustained employment base as reinforcing long-term fundamentals, even though port-driven housing demand has not yet shown up clearly in transaction data.</w:t>
      </w:r>
    </w:p>
    <w:p>
      <w:pPr>
        <w:pStyle w:val="ListParagraph"/>
        <w:numPr>
          <w:ilvl w:val="0"/>
          <w:numId w:val="2"/>
        </w:numPr>
        <w:spacing w:after="80"/>
      </w:pPr>
      <w:r>
        <w:rPr>
          <w:b w:val="false"/>
          <w:bCs w:val="false"/>
        </w:rPr>
        <w:t xml:space="preserve">With Thiruvananthapuram's most recent K-RERA registration leadership figures dating to 2024, CREDAI Kerala members are likely to press for more frequent, updated registration disclosures to better track the city's current project pipeline.</w:t>
      </w:r>
    </w:p>
    <w:p>
      <w:pPr>
        <w:pStyle w:val="ListParagraph"/>
        <w:numPr>
          <w:ilvl w:val="0"/>
          <w:numId w:val="2"/>
        </w:numPr>
        <w:spacing w:after="80"/>
      </w:pPr>
      <w:r>
        <w:rPr>
          <w:b w:val="false"/>
          <w:bCs w:val="false"/>
        </w:rPr>
        <w:t xml:space="preserve">The Corporation's Karimadom Colony affordable-housing delivery is likely to be cited by CREDAI Kerala as a model for public-private coordination on affordable supply even as private luxury and mid-market segments continue to dominate Technopark-corridor activity.</w:t>
      </w:r>
    </w:p>
    <w:p>
      <w:pPr>
        <w:spacing w:after="150"/>
      </w:pPr>
      <w:r>
        <w:rPr>
          <w:i/>
          <w:iCs/>
          <w:color w:val="595959"/>
          <w:sz w:val="18"/>
          <w:szCs w:val="18"/>
        </w:rPr>
        <w:t xml:space="preserve">Sources: RealtyHunting; Therealtytoday; Ghar.tv.</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Ultra-luxury home sales priced between ₹20-50 crore more than doubled nationally to 371 units in H1 2026 from 181 in H1 2025 per Knight Frank data, with Mumbai accounting for 214 of those transactions; only 35 homes above ₹50 crore sold nationally, including 23 in Mumbai and 12 in NCR.</w:t>
      </w:r>
    </w:p>
    <w:p>
      <w:pPr>
        <w:pStyle w:val="ListParagraph"/>
        <w:numPr>
          <w:ilvl w:val="0"/>
          <w:numId w:val="2"/>
        </w:numPr>
        <w:spacing w:after="80"/>
      </w:pPr>
      <w:r>
        <w:rPr>
          <w:b w:val="false"/>
          <w:bCs w:val="false"/>
        </w:rPr>
        <w:t xml:space="preserve">Mumbai's ₹10-crore-plus luxury home segment hit a record ₹18,512 crore in transaction value in H1 CY26, up 12% YoY, with deal count rising 26% to 957 homes and Worli leading with transaction value up 79% YoY, per India Sotheby's International Realty/CRE Matrix.</w:t>
      </w:r>
    </w:p>
    <w:p>
      <w:pPr>
        <w:pStyle w:val="ListParagraph"/>
        <w:numPr>
          <w:ilvl w:val="0"/>
          <w:numId w:val="2"/>
        </w:numPr>
        <w:spacing w:after="80"/>
      </w:pPr>
      <w:r>
        <w:rPr>
          <w:b w:val="false"/>
          <w:bCs w:val="false"/>
        </w:rPr>
        <w:t xml:space="preserve">Report authors caution that this sales velocity may not sustain at the same pace in coming quarters, citing a high base effect and a more cautious broader market outlook heading into 2027.</w:t>
      </w:r>
    </w:p>
    <w:p>
      <w:pPr>
        <w:spacing w:after="150"/>
      </w:pPr>
      <w:r>
        <w:rPr>
          <w:i/>
          <w:iCs/>
          <w:color w:val="595959"/>
          <w:sz w:val="18"/>
          <w:szCs w:val="18"/>
        </w:rPr>
        <w:t xml:space="preserve">Sources: IBEF/Knight Frank (₹20-50 crore and ₹50-crore-plus home sales, H1 2026 vs H1 2025); Tribune India/Outlookmoney (India Sotheby's International Realty/CRE Matrix Mumbai luxury record).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office market posted its strongest-ever nine-month absorption through Q3 2026 per CBRE, with Q3 alone at roughly 21.0 million sq ft, up 6% YoY, while Cushman &amp; Wakefield recorded net absorption of 14.1 million sq ft, up 26% QoQ, and record quarterly completions of 22.7 million sq ft.</w:t>
      </w:r>
    </w:p>
    <w:p>
      <w:pPr>
        <w:pStyle w:val="ListParagraph"/>
        <w:numPr>
          <w:ilvl w:val="0"/>
          <w:numId w:val="2"/>
        </w:numPr>
        <w:spacing w:after="80"/>
      </w:pPr>
      <w:r>
        <w:rPr>
          <w:b w:val="false"/>
          <w:bCs w:val="false"/>
        </w:rPr>
        <w:t xml:space="preserve">Colliers reported Q3 2026 Grade A uptake of 18.7 million sq ft across the top seven markets, up 7% QoQ and 9% YoY, with year-to-date leasing at 54.4 million sq ft and full-year 2026 transactions potentially reaching 75-80 million sq ft.</w:t>
      </w:r>
    </w:p>
    <w:p>
      <w:pPr>
        <w:pStyle w:val="ListParagraph"/>
        <w:numPr>
          <w:ilvl w:val="0"/>
          <w:numId w:val="2"/>
        </w:numPr>
        <w:spacing w:after="80"/>
      </w:pPr>
      <w:r>
        <w:rPr>
          <w:b w:val="false"/>
          <w:bCs w:val="false"/>
        </w:rPr>
        <w:t xml:space="preserve">Global Capability Centres (GCCs) continued to anchor office demand, contributing an estimated 30% of leasing per Savills India and as much as 42% of quarterly gross leasing per Cushman &amp; Wakefield, with Bengaluru and Hyderabad the leading demand markets.</w:t>
      </w:r>
    </w:p>
    <w:p>
      <w:pPr>
        <w:spacing w:after="150"/>
      </w:pPr>
      <w:r>
        <w:rPr>
          <w:i/>
          <w:iCs/>
          <w:color w:val="595959"/>
          <w:sz w:val="18"/>
          <w:szCs w:val="18"/>
        </w:rPr>
        <w:t xml:space="preserve">Sources: CBRE India Office Figures Q3 2026; Cushman &amp; Wakefield (Q3 2026 India office market growth); Colliers (Q3 2026 Grade A leasing); Savills India (GCC leasing share).</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cite record nine-month office absorption and the sharp rise in ultra-luxury home transactions as twin signals of institutional and high-net-worth confidence in Indian real estate even as mid-market unit sales growth stays comparatively flat.</w:t>
      </w:r>
    </w:p>
    <w:p>
      <w:pPr>
        <w:pStyle w:val="ListParagraph"/>
        <w:numPr>
          <w:ilvl w:val="0"/>
          <w:numId w:val="2"/>
        </w:numPr>
        <w:spacing w:after="80"/>
      </w:pPr>
      <w:r>
        <w:rPr>
          <w:b w:val="false"/>
          <w:bCs w:val="false"/>
        </w:rPr>
        <w:t xml:space="preserve">Industry projections of total housing sales value exceeding ₹6.65 lakh crore in FY26 — a roughly 19% YoY rise driven by premiumisation even as unit sales remain broadly flat — are expected to keep CREDAI's advocacy focused on supporting mid-market affordability alongside luxury-segment growth.</w:t>
      </w:r>
    </w:p>
    <w:p>
      <w:pPr>
        <w:pStyle w:val="ListParagraph"/>
        <w:numPr>
          <w:ilvl w:val="0"/>
          <w:numId w:val="2"/>
        </w:numPr>
        <w:spacing w:after="80"/>
      </w:pPr>
      <w:r>
        <w:rPr>
          <w:b w:val="false"/>
          <w:bCs w:val="false"/>
        </w:rPr>
        <w:t xml:space="preserve">With Hyderabad, Bengaluru and Chennai recording a combined 811 ultra-luxury home sales worth ₹11,246 crore in FY26 and Bengaluru cited as the fastest-growing market, CREDAI's South India chapters are likely to highlight this segment's expansion in upcoming industry commentary.</w:t>
      </w:r>
    </w:p>
    <w:p>
      <w:pPr>
        <w:spacing w:after="150"/>
      </w:pPr>
      <w:r>
        <w:rPr>
          <w:i/>
          <w:iCs/>
          <w:color w:val="595959"/>
          <w:sz w:val="18"/>
          <w:szCs w:val="18"/>
        </w:rPr>
        <w:t xml:space="preserve">Sources: Community.greythr (₹6.65 lakh crore FY26 housing sales value projection); NBM&amp;CW (South India ultra-luxury FY26 sales, Hyderabad/Bengaluru/Chennai breakdown).</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2026-10-18T03:35:47.418Z</dcterms:created>
  <dcterms:modified xsi:type="dcterms:W3CDTF">2026-10-18T03:35:47.430Z</dcterms:modified>
</cp:coreProperties>
</file>

<file path=docProps/custom.xml><?xml version="1.0" encoding="utf-8"?>
<Properties xmlns="http://schemas.openxmlformats.org/officeDocument/2006/custom-properties" xmlns:vt="http://schemas.openxmlformats.org/officeDocument/2006/docPropsVTypes"/>
</file>