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6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remained India's largest office leasing market in H1 2026, with the city's dual pull for both occupiers and residential buyers continuing even as commercial data dominates recent headlines; large office transactions (10.1 million sq ft, 72% of total leasing) reinforce continued employment-led residential demand.</w:t>
      </w:r>
    </w:p>
    <w:p>
      <w:pPr>
        <w:pStyle w:val="ListParagraph"/>
        <w:numPr>
          <w:ilvl w:val="0"/>
          <w:numId w:val="2"/>
        </w:numPr>
        <w:spacing w:after="80"/>
      </w:pPr>
      <w:r>
        <w:rPr>
          <w:b w:val="false"/>
          <w:bCs w:val="false"/>
        </w:rPr>
        <w:t xml:space="preserve">Karnataka has rolled out Kaveri 2.0, an upgraded digital property-registration platform requiring only a single sub-registrar office visit for biometric/photo verification, with the rest of the registration process now digitised.</w:t>
      </w:r>
    </w:p>
    <w:p>
      <w:pPr>
        <w:pStyle w:val="ListParagraph"/>
        <w:numPr>
          <w:ilvl w:val="0"/>
          <w:numId w:val="2"/>
        </w:numPr>
        <w:spacing w:after="80"/>
      </w:pPr>
      <w:r>
        <w:rPr>
          <w:b w:val="false"/>
          <w:bCs w:val="false"/>
        </w:rPr>
        <w:t xml:space="preserve">Chief Minister Siddaramaiah has given the state e-Governance department a two-week deadline to roll out the long-delayed GIS-based guidance value system alongside digital delivery of property registration documents.</w:t>
      </w:r>
    </w:p>
    <w:p>
      <w:pPr>
        <w:spacing w:after="150"/>
      </w:pPr>
      <w:r>
        <w:rPr>
          <w:i/>
          <w:iCs/>
          <w:color w:val="595959"/>
          <w:sz w:val="18"/>
          <w:szCs w:val="18"/>
        </w:rPr>
        <w:t xml:space="preserve">Sources: BusinessToday; OneCityProperty; Deccan Herald.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recorded 14.1 million sq ft of total office absorption in H1 2026, retaining its position as India's largest office leasing market, with large transactions (10.1 million sq ft) accounting for 72% of activity.</w:t>
      </w:r>
    </w:p>
    <w:p>
      <w:pPr>
        <w:pStyle w:val="ListParagraph"/>
        <w:numPr>
          <w:ilvl w:val="0"/>
          <w:numId w:val="2"/>
        </w:numPr>
        <w:spacing w:after="80"/>
      </w:pPr>
      <w:r>
        <w:rPr>
          <w:b w:val="false"/>
          <w:bCs w:val="false"/>
        </w:rPr>
        <w:t xml:space="preserve">Outer Ring Road and Peripheral East continued to draw the highest office leasing activity in Q2 2026, with net absorption of 3.5 million sq ft on fresh leasing and pre-commitments, alongside record Grade A supply of 5.8 million sq ft.</w:t>
      </w:r>
    </w:p>
    <w:p>
      <w:pPr>
        <w:pStyle w:val="ListParagraph"/>
        <w:numPr>
          <w:ilvl w:val="0"/>
          <w:numId w:val="2"/>
        </w:numPr>
        <w:spacing w:after="80"/>
      </w:pPr>
      <w:r>
        <w:rPr>
          <w:b w:val="false"/>
          <w:bCs w:val="false"/>
        </w:rPr>
        <w:t xml:space="preserve">Volvo Group has leased approximately 6 lakh sq ft of office space in Bengaluru, one of the city's most significant commercial transactions this year, while Embassy Office Parks REIT has agreed to acquire a 0.3 million sq ft Grade-A asset in Embassy GolfLinks Business Park for ₹852 crore.</w:t>
      </w:r>
    </w:p>
    <w:p>
      <w:pPr>
        <w:spacing w:after="150"/>
      </w:pPr>
      <w:r>
        <w:rPr>
          <w:i/>
          <w:iCs/>
          <w:color w:val="595959"/>
          <w:sz w:val="18"/>
          <w:szCs w:val="18"/>
        </w:rPr>
        <w:t xml:space="preserve">Sources: BusinessToday; BangaloreProperties blog; Business Standard.</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Karnataka's registration fee hike from 1% to 2% (effective since August 31, the first increase since 2003) continues to raise overall property-transaction costs even as the state digitises the registration process via Kaveri 2.0.</w:t>
      </w:r>
    </w:p>
    <w:p>
      <w:pPr>
        <w:pStyle w:val="ListParagraph"/>
        <w:numPr>
          <w:ilvl w:val="0"/>
          <w:numId w:val="2"/>
        </w:numPr>
        <w:spacing w:after="80"/>
      </w:pPr>
      <w:r>
        <w:rPr>
          <w:b w:val="false"/>
          <w:bCs w:val="false"/>
        </w:rPr>
        <w:t xml:space="preserve">The Karnataka State Stamps and Registration Department Officials Association has asked the state government to postpone the newly introduced digital registration processes, citing implementation concerns.</w:t>
      </w:r>
    </w:p>
    <w:p>
      <w:pPr>
        <w:pStyle w:val="ListParagraph"/>
        <w:numPr>
          <w:ilvl w:val="0"/>
          <w:numId w:val="2"/>
        </w:numPr>
        <w:spacing w:after="80"/>
      </w:pPr>
      <w:r>
        <w:rPr>
          <w:b w:val="false"/>
          <w:bCs w:val="false"/>
        </w:rPr>
        <w:t xml:space="preserve">CREDAI Karnataka continues to track these registration-process and guidance-value reforms alongside its ongoing e-Khata advocacy with the state government and BBMP.</w:t>
      </w:r>
    </w:p>
    <w:p>
      <w:pPr>
        <w:spacing w:after="150"/>
      </w:pPr>
      <w:r>
        <w:rPr>
          <w:i/>
          <w:iCs/>
          <w:color w:val="595959"/>
          <w:sz w:val="18"/>
          <w:szCs w:val="18"/>
        </w:rPr>
        <w:t xml:space="preserve">Sources: Deccan Herald;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office market scaled a record 5.86 million sq ft in Q1 2026 (+48% YoY from 4 million sq ft in Q1 2025), positioning the city as India's second-largest office absorption market after Bengaluru (9.2 million sq ft) — a trend with strong knock-on effects for residential demand in the city's GCC corridors.</w:t>
      </w:r>
    </w:p>
    <w:p>
      <w:pPr>
        <w:pStyle w:val="ListParagraph"/>
        <w:numPr>
          <w:ilvl w:val="0"/>
          <w:numId w:val="2"/>
        </w:numPr>
        <w:spacing w:after="80"/>
      </w:pPr>
      <w:r>
        <w:rPr>
          <w:b w:val="false"/>
          <w:bCs w:val="false"/>
        </w:rPr>
        <w:t xml:space="preserve">Hyderabad has emerged as India's highest-priced GCC office market, with a GCC-Coworking Price Rental Index (GCC-CPRI) of 212.1 and a 15% rental premium for GCC occupiers over non-GCC tenants.</w:t>
      </w:r>
    </w:p>
    <w:p>
      <w:pPr>
        <w:pStyle w:val="ListParagraph"/>
        <w:numPr>
          <w:ilvl w:val="0"/>
          <w:numId w:val="2"/>
        </w:numPr>
        <w:spacing w:after="80"/>
      </w:pPr>
      <w:r>
        <w:rPr>
          <w:b w:val="false"/>
          <w:bCs w:val="false"/>
        </w:rPr>
        <w:t xml:space="preserve">From 1 September 2026, the Greater Chennai Corporation will make public auctions mandatory for all initial property allotments, a governance change relevant to residential and commercial land allocation in the city going forward.</w:t>
      </w:r>
    </w:p>
    <w:p>
      <w:pPr>
        <w:spacing w:after="150"/>
      </w:pPr>
      <w:r>
        <w:rPr>
          <w:i/>
          <w:iCs/>
          <w:color w:val="595959"/>
          <w:sz w:val="18"/>
          <w:szCs w:val="18"/>
        </w:rPr>
        <w:t xml:space="preserve">Sources: Communications Today; Siasat; Business Standard; Verified.RealEstate (GCC Chennai property rules).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leased ~19.2 million sq ft of office space nationally in H1 2026 (45% of gross leasing across India's top 7 cities), with GCCs accounting for 55% of Chennai's 3.2 million sq ft absorption and 48% of Hyderabad's 6.4 million sq ft.</w:t>
      </w:r>
    </w:p>
    <w:p>
      <w:pPr>
        <w:pStyle w:val="ListParagraph"/>
        <w:numPr>
          <w:ilvl w:val="0"/>
          <w:numId w:val="2"/>
        </w:numPr>
        <w:spacing w:after="80"/>
      </w:pPr>
      <w:r>
        <w:rPr>
          <w:b w:val="false"/>
          <w:bCs w:val="false"/>
        </w:rPr>
        <w:t xml:space="preserve">Chennai's headline GCC rental index declined 37.1% YoY, though effective rents for comparable office stock have remained largely stable — the movement reflects a shift in the transacted asset mix rather than a broad rental correction.</w:t>
      </w:r>
    </w:p>
    <w:p>
      <w:pPr>
        <w:pStyle w:val="ListParagraph"/>
        <w:numPr>
          <w:ilvl w:val="0"/>
          <w:numId w:val="2"/>
        </w:numPr>
        <w:spacing w:after="80"/>
      </w:pPr>
      <w:r>
        <w:rPr>
          <w:b w:val="false"/>
          <w:bCs w:val="false"/>
        </w:rPr>
        <w:t xml:space="preserve">Hyderabad's record Q1 2026 office performance and premium GCC rental positioning continue to reinforce South India's centrality to India's GCC-led commercial real estate growth story.</w:t>
      </w:r>
    </w:p>
    <w:p>
      <w:pPr>
        <w:spacing w:after="150"/>
      </w:pPr>
      <w:r>
        <w:rPr>
          <w:i/>
          <w:iCs/>
          <w:color w:val="595959"/>
          <w:sz w:val="18"/>
          <w:szCs w:val="18"/>
        </w:rPr>
        <w:t xml:space="preserve">Sources: Business Standard; Communications Today; Siasat.</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Odisha and NAREDCO have both welcomed the Centre's four-month RERA project-extension advisory, adding to the chorus of developer-body support alongside CREDAI's national leadership.</w:t>
      </w:r>
    </w:p>
    <w:p>
      <w:pPr>
        <w:pStyle w:val="ListParagraph"/>
        <w:numPr>
          <w:ilvl w:val="0"/>
          <w:numId w:val="2"/>
        </w:numPr>
        <w:spacing w:after="80"/>
      </w:pPr>
      <w:r>
        <w:rPr>
          <w:b w:val="false"/>
          <w:bCs w:val="false"/>
        </w:rPr>
        <w:t xml:space="preserve">The MoHUA advisory — covering projects with completion deadlines on or after 28 February 2026 — applies equally across South Indian states managing West Asia conflict-linked construction material shortages.</w:t>
      </w:r>
    </w:p>
    <w:p>
      <w:pPr>
        <w:pStyle w:val="ListParagraph"/>
        <w:numPr>
          <w:ilvl w:val="0"/>
          <w:numId w:val="2"/>
        </w:numPr>
        <w:spacing w:after="80"/>
      </w:pPr>
      <w:r>
        <w:rPr>
          <w:b w:val="false"/>
          <w:bCs w:val="false"/>
        </w:rPr>
        <w:t xml:space="preserve">CREDAI Hyderabad's Property Show 2026 (28–30 August, HITEX) continues to be promoted as a one-stop platform for 100% RERA-approved properties from hundreds of developer projects.</w:t>
      </w:r>
    </w:p>
    <w:p>
      <w:pPr>
        <w:spacing w:after="150"/>
      </w:pPr>
      <w:r>
        <w:rPr>
          <w:i/>
          <w:iCs/>
          <w:color w:val="595959"/>
          <w:sz w:val="18"/>
          <w:szCs w:val="18"/>
        </w:rPr>
        <w:t xml:space="preserve">Sources: Odisha Ray; PropNewsTime; The Hans India.</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overall office leasing touched 48 million sq ft in H1 2026, with large office spaces remaining in strong demand — a trend with positive knock-on implications for residential markets in the country's leading commercial hubs.</w:t>
      </w:r>
    </w:p>
    <w:p>
      <w:pPr>
        <w:pStyle w:val="ListParagraph"/>
        <w:numPr>
          <w:ilvl w:val="0"/>
          <w:numId w:val="2"/>
        </w:numPr>
        <w:spacing w:after="80"/>
      </w:pPr>
      <w:r>
        <w:rPr>
          <w:b w:val="false"/>
          <w:bCs w:val="false"/>
        </w:rPr>
        <w:t xml:space="preserve">The Ministry of Housing and Urban Affairs' four-month RERA extension advisory, covering projects with deadlines on or after 28 February 2026, continues to draw broad developer-body support, including from CREDAI Odisha and NAREDCO.</w:t>
      </w:r>
    </w:p>
    <w:p>
      <w:pPr>
        <w:pStyle w:val="ListParagraph"/>
        <w:numPr>
          <w:ilvl w:val="0"/>
          <w:numId w:val="2"/>
        </w:numPr>
        <w:spacing w:after="80"/>
      </w:pPr>
      <w:r>
        <w:rPr>
          <w:b w:val="false"/>
          <w:bCs w:val="false"/>
        </w:rPr>
        <w:t xml:space="preserve">CREDAI continues to highlight strong residential demand momentum in key national markets — NCR, Mumbai Metropolitan Region, Pune and Bengaluru — even as commercial leasing headlines dominate national coverage this week.</w:t>
      </w:r>
    </w:p>
    <w:p>
      <w:pPr>
        <w:spacing w:after="150"/>
      </w:pPr>
      <w:r>
        <w:rPr>
          <w:i/>
          <w:iCs/>
          <w:color w:val="595959"/>
          <w:sz w:val="18"/>
          <w:szCs w:val="18"/>
        </w:rPr>
        <w:t xml:space="preserve">Sources: BusinessToday; Odisha Ray/PropNewsTime; Outlook Money.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leasing touched 48 million sq ft in H1 2026, with large-format transactions remaining in strong demand nationally, led by Bengaluru (14.1 million sq ft) and Hyderabad (5.86 million sq ft in Q1 2026 alone, a record quarter).</w:t>
      </w:r>
    </w:p>
    <w:p>
      <w:pPr>
        <w:pStyle w:val="ListParagraph"/>
        <w:numPr>
          <w:ilvl w:val="0"/>
          <w:numId w:val="2"/>
        </w:numPr>
        <w:spacing w:after="80"/>
      </w:pPr>
      <w:r>
        <w:rPr>
          <w:b w:val="false"/>
          <w:bCs w:val="false"/>
        </w:rPr>
        <w:t xml:space="preserve">GCCs leased ~19.2 million sq ft nationally in H1 2026 (45% of gross leasing across the top 7 cities), reinforcing GCCs as the single largest structural driver of India's office market.</w:t>
      </w:r>
    </w:p>
    <w:p>
      <w:pPr>
        <w:pStyle w:val="ListParagraph"/>
        <w:numPr>
          <w:ilvl w:val="0"/>
          <w:numId w:val="2"/>
        </w:numPr>
        <w:spacing w:after="80"/>
      </w:pPr>
      <w:r>
        <w:rPr>
          <w:b w:val="false"/>
          <w:bCs w:val="false"/>
        </w:rPr>
        <w:t xml:space="preserve">Major transactions — Volvo's ~6 lakh sq ft Bengaluru lease and Embassy REIT's ₹852 crore Bengaluru acquisition — illustrate continued institutional and corporate confidence in India's commercial real estate even amid broader residential-market recalibration.</w:t>
      </w:r>
    </w:p>
    <w:p>
      <w:pPr>
        <w:spacing w:after="150"/>
      </w:pPr>
      <w:r>
        <w:rPr>
          <w:i/>
          <w:iCs/>
          <w:color w:val="595959"/>
          <w:sz w:val="18"/>
          <w:szCs w:val="18"/>
        </w:rPr>
        <w:t xml:space="preserve">Sources: BusinessToday; Business Standard; BangaloreProperties blog.</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Odisha and NAREDCO have formally welcomed the Centre's four-month RERA extension advisory, joining CREDAI's national leadership in endorsing the Force Majeure-based relief for projects affected by West Asia conflict-linked supply-chain disruptions.</w:t>
      </w:r>
    </w:p>
    <w:p>
      <w:pPr>
        <w:pStyle w:val="ListParagraph"/>
        <w:numPr>
          <w:ilvl w:val="0"/>
          <w:numId w:val="2"/>
        </w:numPr>
        <w:spacing w:after="80"/>
      </w:pPr>
      <w:r>
        <w:rPr>
          <w:b w:val="false"/>
          <w:bCs w:val="false"/>
        </w:rPr>
        <w:t xml:space="preserve">The MoHUA advisory explicitly cites geopolitical developments in West Asia as having adversely affected global supply chains, causing shortages of key construction materials and delaying project execution nationally.</w:t>
      </w:r>
    </w:p>
    <w:p>
      <w:pPr>
        <w:pStyle w:val="ListParagraph"/>
        <w:numPr>
          <w:ilvl w:val="0"/>
          <w:numId w:val="2"/>
        </w:numPr>
        <w:spacing w:after="80"/>
      </w:pPr>
      <w:r>
        <w:rPr>
          <w:b w:val="false"/>
          <w:bCs w:val="false"/>
        </w:rPr>
        <w:t xml:space="preserve">CREDAI's continued national market commentary highlights sustained demand strength in NCR, MMR, Pune and Bengaluru, even as the sector absorbs new construction-cost and supply-chain headwinds.</w:t>
      </w:r>
    </w:p>
    <w:p>
      <w:pPr>
        <w:spacing w:after="150"/>
      </w:pPr>
      <w:r>
        <w:rPr>
          <w:i/>
          <w:iCs/>
          <w:color w:val="595959"/>
          <w:sz w:val="18"/>
          <w:szCs w:val="18"/>
        </w:rPr>
        <w:t xml:space="preserve">Sources: Odisha Ray; PropNewsTime;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2026-08-06T03:41:37.840Z</dcterms:created>
  <dcterms:modified xsi:type="dcterms:W3CDTF">2026-08-06T03:41:37.855Z</dcterms:modified>
</cp:coreProperties>
</file>

<file path=docProps/custom.xml><?xml version="1.0" encoding="utf-8"?>
<Properties xmlns="http://schemas.openxmlformats.org/officeDocument/2006/custom-properties" xmlns:vt="http://schemas.openxmlformats.org/officeDocument/2006/docPropsVTypes"/>
</file>