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28 September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Bannerghatta Road has posted an 89.2% five-year price appreciation, with the corridor reopening to two-way traffic in early 2026 after four years of metro-construction disruption, alongside the May 2026 opening of the Pink Line's six-station Gottigere-Nagawara stretch connecting South Bengaluru directly to the city core.</w:t>
      </w:r>
    </w:p>
    <w:p>
      <w:pPr>
        <w:pStyle w:val="ListParagraph"/>
        <w:numPr>
          <w:ilvl w:val="0"/>
          <w:numId w:val="2"/>
        </w:numPr>
        <w:spacing w:after="80"/>
      </w:pPr>
      <w:r>
        <w:rPr>
          <w:b w:val="false"/>
          <w:bCs w:val="false"/>
        </w:rPr>
        <w:t xml:space="preserve">Attibele Road is emerging as a fresh growth corridor on the Bengaluru-Hosur border along NH-44, benefiting from proximity to Electronic City and the Hosur industrial belt while offering lower entry prices than Sarjapur Road or Whitefield.</w:t>
      </w:r>
    </w:p>
    <w:p>
      <w:pPr>
        <w:pStyle w:val="ListParagraph"/>
        <w:numPr>
          <w:ilvl w:val="0"/>
          <w:numId w:val="2"/>
        </w:numPr>
        <w:spacing w:after="80"/>
      </w:pPr>
      <w:r>
        <w:rPr>
          <w:b w:val="false"/>
          <w:bCs w:val="false"/>
        </w:rPr>
        <w:t xml:space="preserve">Bengaluru's South submarket led Q2 2026 residential launches with a 38% citywide share, driven by strong activity across Electronic City, Bannerghatta Road and Kanakapura Road, even as affordable South Bengaluru pockets like Attibele, Chandapura and Jigani remain priced up to ₹5,000 per sq ft.</w:t>
      </w:r>
    </w:p>
    <w:p>
      <w:pPr>
        <w:spacing w:after="150"/>
      </w:pPr>
      <w:r>
        <w:rPr>
          <w:i/>
          <w:iCs/>
          <w:color w:val="595959"/>
          <w:sz w:val="18"/>
          <w:szCs w:val="18"/>
        </w:rPr>
        <w:t xml:space="preserve">Sources: Estate Hive (Bannerghatta Road appreciation, Pink Line opening); OneCityProperty (Attibele Road growth corridor); NoBroker (Q2 2026 South submarket launch share).</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Accenture has leased over 560,000 sq ft of office space in Bengaluru's Pritech Park SEZ for a total rental outlay of ₹269 crore over five years, at a monthly rate of ₹76.2 per sq ft.</w:t>
      </w:r>
    </w:p>
    <w:p>
      <w:pPr>
        <w:pStyle w:val="ListParagraph"/>
        <w:numPr>
          <w:ilvl w:val="0"/>
          <w:numId w:val="2"/>
        </w:numPr>
        <w:spacing w:after="80"/>
      </w:pPr>
      <w:r>
        <w:rPr>
          <w:b w:val="false"/>
          <w:bCs w:val="false"/>
        </w:rPr>
        <w:t xml:space="preserve">Walmart Global Tech India has expanded its North Bengaluru footprint with a fresh lease of 1.01 lakh sq ft, reinforcing continued GCC-driven demand in the corridor.</w:t>
      </w:r>
    </w:p>
    <w:p>
      <w:pPr>
        <w:pStyle w:val="ListParagraph"/>
        <w:numPr>
          <w:ilvl w:val="0"/>
          <w:numId w:val="2"/>
        </w:numPr>
        <w:spacing w:after="80"/>
      </w:pPr>
      <w:r>
        <w:rPr>
          <w:b w:val="false"/>
          <w:bCs w:val="false"/>
        </w:rPr>
        <w:t xml:space="preserve">Bengaluru recorded 13.1 million sq ft of office absorption in H1 2026 — the highest among India's major office markets — with GCCs alone accounting for 8.5 million sq ft, or nearly 65% of the city's total leasing.</w:t>
      </w:r>
    </w:p>
    <w:p>
      <w:pPr>
        <w:spacing w:after="150"/>
      </w:pPr>
      <w:r>
        <w:rPr>
          <w:i/>
          <w:iCs/>
          <w:color w:val="595959"/>
          <w:sz w:val="18"/>
          <w:szCs w:val="18"/>
        </w:rPr>
        <w:t xml:space="preserve">Sources: Business Standard (Accenture Pritech Park SEZ lease); The Flex Insights/Grihik (Walmart Global Tech North Bengaluru lease, H1 2026 absorption data).</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Karnataka's registration charges now stand at 2% of property value following the rate revision effective 31 August 2025 — the first change to this fee since 2003 — pushing the total transaction cost to roughly 7.6% of sale consideration including stamp duty, cess and surcharge.</w:t>
      </w:r>
    </w:p>
    <w:p>
      <w:pPr>
        <w:pStyle w:val="ListParagraph"/>
        <w:numPr>
          <w:ilvl w:val="0"/>
          <w:numId w:val="2"/>
        </w:numPr>
        <w:spacing w:after="80"/>
      </w:pPr>
      <w:r>
        <w:rPr>
          <w:b w:val="false"/>
          <w:bCs w:val="false"/>
        </w:rPr>
        <w:t xml:space="preserve">The state's Kaveri Online Services portal continues to modernise property registration, pushing nearly all paperwork online through Pre-Registration Data Entry so in-person visits are reduced to biometric capture and signing.</w:t>
      </w:r>
    </w:p>
    <w:p>
      <w:pPr>
        <w:pStyle w:val="ListParagraph"/>
        <w:numPr>
          <w:ilvl w:val="0"/>
          <w:numId w:val="2"/>
        </w:numPr>
        <w:spacing w:after="80"/>
      </w:pPr>
      <w:r>
        <w:rPr>
          <w:b w:val="false"/>
          <w:bCs w:val="false"/>
        </w:rPr>
        <w:t xml:space="preserve">CREDAI Bengaluru's earlier memorandum to the Karnataka government proposing reforms to streamline development approvals, reduce costs and cut bureaucratic delays remains a live advocacy priority as the state continues its GBA transition.</w:t>
      </w:r>
    </w:p>
    <w:p>
      <w:pPr>
        <w:spacing w:after="150"/>
      </w:pPr>
      <w:r>
        <w:rPr>
          <w:i/>
          <w:iCs/>
          <w:color w:val="595959"/>
          <w:sz w:val="18"/>
          <w:szCs w:val="18"/>
        </w:rPr>
        <w:t xml:space="preserve">Sources: Bajaj Housing Finance/HomeFirstIndia (Karnataka stamp duty and registration charges); OneCityProperty (Kaveri Online Services); The Realty Today/CREDAI Bengaluru (development-reform memorandum).</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Hyderabad's residential sales grew 53% YoY to 17,658 units in the July-September quarter, while Chennai's sales more than doubled to 7,862 units from 3,560 a year earlier — both far outpacing the broader national market.</w:t>
      </w:r>
    </w:p>
    <w:p>
      <w:pPr>
        <w:pStyle w:val="ListParagraph"/>
        <w:numPr>
          <w:ilvl w:val="0"/>
          <w:numId w:val="2"/>
        </w:numPr>
        <w:spacing w:after="80"/>
      </w:pPr>
      <w:r>
        <w:rPr>
          <w:b w:val="false"/>
          <w:bCs w:val="false"/>
        </w:rPr>
        <w:t xml:space="preserve">Amaravati property prices, having dropped below ₹20,000 per square yard, have already doubled within six months, with developers in Tadepalli, Undavalli and Mangalagiri reporting land appreciation of ₹40,000-60,000 per square yard.</w:t>
      </w:r>
    </w:p>
    <w:p>
      <w:pPr>
        <w:pStyle w:val="ListParagraph"/>
        <w:numPr>
          <w:ilvl w:val="0"/>
          <w:numId w:val="2"/>
        </w:numPr>
        <w:spacing w:after="80"/>
      </w:pPr>
      <w:r>
        <w:rPr>
          <w:b w:val="false"/>
          <w:bCs w:val="false"/>
        </w:rPr>
        <w:t xml:space="preserve">Amaravati was formally named the capital of Andhra Pradesh on 2 April 2026 through the Andhra Pradesh Reorganisation (Amendment) Act, 2026, cementing the legal basis for the capital region's ongoing real estate revival.</w:t>
      </w:r>
    </w:p>
    <w:p>
      <w:pPr>
        <w:spacing w:after="150"/>
      </w:pPr>
      <w:r>
        <w:rPr>
          <w:i/>
          <w:iCs/>
          <w:color w:val="595959"/>
          <w:sz w:val="18"/>
          <w:szCs w:val="18"/>
        </w:rPr>
        <w:t xml:space="preserve">Sources: PropTiger via Business Standard (Hyderabad/Chennai Q3 2026 sales growth); Aurum PropTech (Amaravati price doubling, land appreciation); Wikipedia (Amaravati capital status, April 2026).</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A Memorandum of Understanding signed on 25 August 2026 between Andhra Pradesh's municipal administration and urban development department and the UK government will drive infrastructure, urban planning and mobility development for the Amaravati Quantum Valley, with quantum computing services targeted to go live from January 2027.</w:t>
      </w:r>
    </w:p>
    <w:p>
      <w:pPr>
        <w:pStyle w:val="ListParagraph"/>
        <w:numPr>
          <w:ilvl w:val="0"/>
          <w:numId w:val="2"/>
        </w:numPr>
        <w:spacing w:after="80"/>
      </w:pPr>
      <w:r>
        <w:rPr>
          <w:b w:val="false"/>
          <w:bCs w:val="false"/>
        </w:rPr>
        <w:t xml:space="preserve">Combined housing sales across Hyderabad, Bengaluru and Chennai reached 38,644 units in Q3 2026, up 47% YoY, even as India's overall top-eight primary housing markets recorded a slight 1% sales decline due to weakness in Mumbai, Pune and Delhi-NCR.</w:t>
      </w:r>
    </w:p>
    <w:p>
      <w:pPr>
        <w:pStyle w:val="ListParagraph"/>
        <w:numPr>
          <w:ilvl w:val="0"/>
          <w:numId w:val="2"/>
        </w:numPr>
        <w:spacing w:after="80"/>
      </w:pPr>
      <w:r>
        <w:rPr>
          <w:b w:val="false"/>
          <w:bCs w:val="false"/>
        </w:rPr>
        <w:t xml:space="preserve">Continued infrastructure investment in the Amaravati capital region — anchored by the Quantum Valley MOU — is expected to catalyse further commercial and mixed-use development alongside the ongoing residential price recovery.</w:t>
      </w:r>
    </w:p>
    <w:p>
      <w:pPr>
        <w:spacing w:after="150"/>
      </w:pPr>
      <w:r>
        <w:rPr>
          <w:i/>
          <w:iCs/>
          <w:color w:val="595959"/>
          <w:sz w:val="18"/>
          <w:szCs w:val="18"/>
        </w:rPr>
        <w:t xml:space="preserve">Sources: Wikipedia (Amaravati Quantum Valley MOU); PropTiger via Business Standard (combined southern-city Q3 2026 sales, national sales trend).</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Andhra Pradesh is likely to view Amaravati's formal capital status and the Quantum Valley MOU as strong tailwinds for accelerating new project registrations across the capital region.</w:t>
      </w:r>
    </w:p>
    <w:p>
      <w:pPr>
        <w:pStyle w:val="ListParagraph"/>
        <w:numPr>
          <w:ilvl w:val="0"/>
          <w:numId w:val="2"/>
        </w:numPr>
        <w:spacing w:after="80"/>
      </w:pPr>
      <w:r>
        <w:rPr>
          <w:b w:val="false"/>
          <w:bCs w:val="false"/>
        </w:rPr>
        <w:t xml:space="preserve">CREDAI Telangana and CREDAI Tamil Nadu are expected to welcome Hyderabad's 53% and Chennai's more-than-doubled Q3 sales growth as validation of sustained southern-market momentum even as northern and western metros soften.</w:t>
      </w:r>
    </w:p>
    <w:p>
      <w:pPr>
        <w:pStyle w:val="ListParagraph"/>
        <w:numPr>
          <w:ilvl w:val="0"/>
          <w:numId w:val="2"/>
        </w:numPr>
        <w:spacing w:after="80"/>
      </w:pPr>
      <w:r>
        <w:rPr>
          <w:b w:val="false"/>
          <w:bCs w:val="false"/>
        </w:rPr>
        <w:t xml:space="preserve">Continued land appreciation of ₹40,000-60,000 per square yard in Amaravati's Tadepalli-Undavalli-Mangalagiri belt is likely to prompt closer AP-RERA scrutiny of speculative pricing even as the underlying revival remains infrastructure-driven.</w:t>
      </w:r>
    </w:p>
    <w:p>
      <w:pPr>
        <w:spacing w:after="150"/>
      </w:pPr>
      <w:r>
        <w:rPr>
          <w:i/>
          <w:iCs/>
          <w:color w:val="595959"/>
          <w:sz w:val="18"/>
          <w:szCs w:val="18"/>
        </w:rPr>
        <w:t xml:space="preserve">Sources: Wikipedia; Aurum PropTech; PropTiger via Business Standard.</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NHB RESIDEX data for Q3 FY26 shows housing price index gains across major cities: Bengaluru led at 12.7% YoY, followed by Chennai (8.2%), Ahmedabad (6.8%), Kolkata (6.7%), Mumbai (3.7%), Pune (3.5%) and Hyderabad (3.2%).</w:t>
      </w:r>
    </w:p>
    <w:p>
      <w:pPr>
        <w:pStyle w:val="ListParagraph"/>
        <w:numPr>
          <w:ilvl w:val="0"/>
          <w:numId w:val="2"/>
        </w:numPr>
        <w:spacing w:after="80"/>
      </w:pPr>
      <w:r>
        <w:rPr>
          <w:b w:val="false"/>
          <w:bCs w:val="false"/>
        </w:rPr>
        <w:t xml:space="preserve">India's top-eight primary housing markets recorded a roughly 1% sales dip in Q3 2026 (July-September), driven mainly by softness in Mumbai, Pune and Delhi-NCR, even as southern cities posted strong double-digit sales growth.</w:t>
      </w:r>
    </w:p>
    <w:p>
      <w:pPr>
        <w:pStyle w:val="ListParagraph"/>
        <w:numPr>
          <w:ilvl w:val="0"/>
          <w:numId w:val="2"/>
        </w:numPr>
        <w:spacing w:after="80"/>
      </w:pPr>
      <w:r>
        <w:rPr>
          <w:b w:val="false"/>
          <w:bCs w:val="false"/>
        </w:rPr>
        <w:t xml:space="preserve">A separate PropEquity reading shows housing sales fell 6% to about 103,000 units across the top nine cities in Q3 2026, underscoring a broader moderation in northern and western markets that contrasts with continued southern strength.</w:t>
      </w:r>
    </w:p>
    <w:p>
      <w:pPr>
        <w:spacing w:after="150"/>
      </w:pPr>
      <w:r>
        <w:rPr>
          <w:i/>
          <w:iCs/>
          <w:color w:val="595959"/>
          <w:sz w:val="18"/>
          <w:szCs w:val="18"/>
        </w:rPr>
        <w:t xml:space="preserve">Sources: National Housing Bank RESIDEX (Q3 FY26 city-wise price index); PropTiger via Business Standard (top-8 city sales trend); PropEquity via Business Standard (top-9 city Q3 2026 sales).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Accenture's ₹269 crore, five-year, 560,000 sq ft lease in Bengaluru's Pritech Park SEZ and Walmart Global Tech's fresh 1.01 lakh sq ft North Bengaluru lease reflect continued large-format GCC office demand nationally, even amid broader residential moderation.</w:t>
      </w:r>
    </w:p>
    <w:p>
      <w:pPr>
        <w:pStyle w:val="ListParagraph"/>
        <w:numPr>
          <w:ilvl w:val="0"/>
          <w:numId w:val="2"/>
        </w:numPr>
        <w:spacing w:after="80"/>
      </w:pPr>
      <w:r>
        <w:rPr>
          <w:b w:val="false"/>
          <w:bCs w:val="false"/>
        </w:rPr>
        <w:t xml:space="preserve">Bengaluru's H1 2026 office absorption of 13.1 million sq ft — the highest among India's major markets, with GCCs contributing 65% — reinforces the divergence between resilient commercial leasing and softer residential sales in several metros.</w:t>
      </w:r>
    </w:p>
    <w:p>
      <w:pPr>
        <w:pStyle w:val="ListParagraph"/>
        <w:numPr>
          <w:ilvl w:val="0"/>
          <w:numId w:val="2"/>
        </w:numPr>
        <w:spacing w:after="80"/>
      </w:pPr>
      <w:r>
        <w:rPr>
          <w:b w:val="false"/>
          <w:bCs w:val="false"/>
        </w:rPr>
        <w:t xml:space="preserve">The Amaravati Quantum Valley MOU with the UK government signals growing national interest in technology-anchored real estate development beyond India's traditional metro office markets.</w:t>
      </w:r>
    </w:p>
    <w:p>
      <w:pPr>
        <w:spacing w:after="150"/>
      </w:pPr>
      <w:r>
        <w:rPr>
          <w:i/>
          <w:iCs/>
          <w:color w:val="595959"/>
          <w:sz w:val="18"/>
          <w:szCs w:val="18"/>
        </w:rPr>
        <w:t xml:space="preserve">Sources: Business Standard (Accenture lease); The Flex Insights/Grihik (Walmart lease, Bengaluru absorption data); Wikipedia (Amaravati Quantum Valley MOU).</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CREDAI and NAREDCO are likely to flag the NHB RESIDEX city-wise divergence — Bengaluru's 12.7% gain versus Hyderabad's more modest 3.2% — as evidence that housing price growth remains highly market-specific rather than uniformly national.</w:t>
      </w:r>
    </w:p>
    <w:p>
      <w:pPr>
        <w:pStyle w:val="ListParagraph"/>
        <w:numPr>
          <w:ilvl w:val="0"/>
          <w:numId w:val="2"/>
        </w:numPr>
        <w:spacing w:after="80"/>
      </w:pPr>
      <w:r>
        <w:rPr>
          <w:b w:val="false"/>
          <w:bCs w:val="false"/>
        </w:rPr>
        <w:t xml:space="preserve">The PropEquity-reported 6% sales dip across the top nine cities in Q3 2026 is expected to keep CREDAI focused on demand-side measures for Mumbai, Pune and Delhi-NCR even as southern markets outperform.</w:t>
      </w:r>
    </w:p>
    <w:p>
      <w:pPr>
        <w:pStyle w:val="ListParagraph"/>
        <w:numPr>
          <w:ilvl w:val="0"/>
          <w:numId w:val="2"/>
        </w:numPr>
        <w:spacing w:after="80"/>
      </w:pPr>
      <w:r>
        <w:rPr>
          <w:b w:val="false"/>
          <w:bCs w:val="false"/>
        </w:rPr>
        <w:t xml:space="preserve">Continued GCC-driven office leasing strength, exemplified by Accenture's and Walmart's fresh Bengaluru commitments, is likely to reinforce CREDAI and NAREDCO's case for continued institutional and REIT-linked capital deployment nationally.</w:t>
      </w:r>
    </w:p>
    <w:p>
      <w:pPr>
        <w:spacing w:after="150"/>
      </w:pPr>
      <w:r>
        <w:rPr>
          <w:i/>
          <w:iCs/>
          <w:color w:val="595959"/>
          <w:sz w:val="18"/>
          <w:szCs w:val="18"/>
        </w:rPr>
        <w:t xml:space="preserve">Sources: National Housing Bank RESIDEX; PropEquity via Business Standard; Business Standard/The Flex Insights.</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2026-09-28T03:38:07.814Z</dcterms:created>
  <dcterms:modified xsi:type="dcterms:W3CDTF">2026-09-28T03:38:07.825Z</dcterms:modified>
</cp:coreProperties>
</file>

<file path=docProps/custom.xml><?xml version="1.0" encoding="utf-8"?>
<Properties xmlns="http://schemas.openxmlformats.org/officeDocument/2006/custom-properties" xmlns:vt="http://schemas.openxmlformats.org/officeDocument/2006/docPropsVTypes"/>
</file>