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10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Devanahalli's average flat rate reached ₹9,500 per sq ft in Q1 2026, up 20.3% YoY, with Shettigere pricing this October estimated at ₹7,500-12,000 per sq ft and Yelahanka in the ₹7,000-9,500 range.</w:t>
      </w:r>
    </w:p>
    <w:p>
      <w:pPr>
        <w:pStyle w:val="ListParagraph"/>
        <w:numPr>
          <w:ilvl w:val="0"/>
          <w:numId w:val="2"/>
        </w:numPr>
        <w:spacing w:after="80"/>
      </w:pPr>
      <w:r>
        <w:rPr>
          <w:b w:val="false"/>
          <w:bCs w:val="false"/>
        </w:rPr>
        <w:t xml:space="preserve">Rental returns in pockets like Bagalur and Yelahanka have reportedly reached 4.5-5.5% in 2026, with the corridor's job-led demand anchored by the airport and the KIADB Aerospace Park.</w:t>
      </w:r>
    </w:p>
    <w:p>
      <w:pPr>
        <w:pStyle w:val="ListParagraph"/>
        <w:numPr>
          <w:ilvl w:val="0"/>
          <w:numId w:val="2"/>
        </w:numPr>
        <w:spacing w:after="80"/>
      </w:pPr>
      <w:r>
        <w:rPr>
          <w:b w:val="false"/>
          <w:bCs w:val="false"/>
        </w:rPr>
        <w:t xml:space="preserve">The Devanahalli-Yelahanka airport metro link remains under construction with no confirmed opening date, as earlier 2026 completion targets have slipped — a key pending catalyst for the corridor's next leg of appreciation.</w:t>
      </w:r>
    </w:p>
    <w:p>
      <w:pPr>
        <w:spacing w:after="150"/>
      </w:pPr>
      <w:r>
        <w:rPr>
          <w:i/>
          <w:iCs/>
          <w:color w:val="595959"/>
          <w:sz w:val="18"/>
          <w:szCs w:val="18"/>
        </w:rPr>
        <w:t xml:space="preserve">Sources: Booknewproperty/99acres (Devanahalli Q1 2026 pricing); Plotex (rental yields, Bagalur-Yelahanka); NxtFootstep (Shettigere/Yelahanka October pricing, metro-link status).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Yelahanka remains the more mature, established node within the Devanahalli-Yelahanka corridor, continuing to anchor commercial and retail demand ahead of the airport metro's eventual opening.</w:t>
      </w:r>
    </w:p>
    <w:p>
      <w:pPr>
        <w:pStyle w:val="ListParagraph"/>
        <w:numPr>
          <w:ilvl w:val="0"/>
          <w:numId w:val="2"/>
        </w:numPr>
        <w:spacing w:after="80"/>
      </w:pPr>
      <w:r>
        <w:rPr>
          <w:b w:val="false"/>
          <w:bCs w:val="false"/>
        </w:rPr>
        <w:t xml:space="preserve">Industry commentary suggests metro station openings have historically lifted nearby property rates by 8-15% within about 18 months, a pattern investors are watching for once the Devanahalli airport line goes live.</w:t>
      </w:r>
    </w:p>
    <w:p>
      <w:pPr>
        <w:pStyle w:val="ListParagraph"/>
        <w:numPr>
          <w:ilvl w:val="0"/>
          <w:numId w:val="2"/>
        </w:numPr>
        <w:spacing w:after="80"/>
      </w:pPr>
      <w:r>
        <w:rPr>
          <w:b w:val="false"/>
          <w:bCs w:val="false"/>
        </w:rPr>
        <w:t xml:space="preserve">Continued job-led demand near Kempegowda International Airport and the Aerospace Park is sustaining investor interest in Devanahalli despite the metro-link delay.</w:t>
      </w:r>
    </w:p>
    <w:p>
      <w:pPr>
        <w:spacing w:after="150"/>
      </w:pPr>
      <w:r>
        <w:rPr>
          <w:i/>
          <w:iCs/>
          <w:color w:val="595959"/>
          <w:sz w:val="18"/>
          <w:szCs w:val="18"/>
        </w:rPr>
        <w:t xml:space="preserve">Sources: NxtFootstep (Yelahanka positioning, metro-premium pattern); Mahindra Lifespaces (airport-led demand).</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Karnataka's property registration continues to run through the Department of Stamps and Registration rather than BBMP or GBA, even as the broader GBA transition reshapes civic administration.</w:t>
      </w:r>
    </w:p>
    <w:p>
      <w:pPr>
        <w:pStyle w:val="ListParagraph"/>
        <w:numPr>
          <w:ilvl w:val="0"/>
          <w:numId w:val="2"/>
        </w:numPr>
        <w:spacing w:after="80"/>
      </w:pPr>
      <w:r>
        <w:rPr>
          <w:b w:val="false"/>
          <w:bCs w:val="false"/>
        </w:rPr>
        <w:t xml:space="preserve">The 2026 Greater Bengaluru Authority elections remain unresolved, with Wikipedia listing a due-by-31-December-2026 deadline while other sources cite conflicting dates — a governance uncertainty CREDAI Karnataka continues to monitor.</w:t>
      </w:r>
    </w:p>
    <w:p>
      <w:pPr>
        <w:pStyle w:val="ListParagraph"/>
        <w:numPr>
          <w:ilvl w:val="0"/>
          <w:numId w:val="2"/>
        </w:numPr>
        <w:spacing w:after="80"/>
      </w:pPr>
      <w:r>
        <w:rPr>
          <w:b w:val="false"/>
          <w:bCs w:val="false"/>
        </w:rPr>
        <w:t xml:space="preserve">CREDAI Karnataka members are advised to allow extra time for transactions requiring new GBA-era approvals as civic services, property tax administration and Khata-related functions transition to the relevant city corporations.</w:t>
      </w:r>
    </w:p>
    <w:p>
      <w:pPr>
        <w:spacing w:after="150"/>
      </w:pPr>
      <w:r>
        <w:rPr>
          <w:i/>
          <w:iCs/>
          <w:color w:val="595959"/>
          <w:sz w:val="18"/>
          <w:szCs w:val="18"/>
        </w:rPr>
        <w:t xml:space="preserve">Sources: Wikipedia (2026 GBA elections); PropNewz/Modern Spaaces (GBA transition, registration and approval process).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recorded 29,125 housing sales between January and September 2026, a 2% YoY rise per Knight Frank, even as a separate Propenu reading shows 12,970 sales in the July-September quarter alone, up 15% YoY.</w:t>
      </w:r>
    </w:p>
    <w:p>
      <w:pPr>
        <w:pStyle w:val="ListParagraph"/>
        <w:numPr>
          <w:ilvl w:val="0"/>
          <w:numId w:val="2"/>
        </w:numPr>
        <w:spacing w:after="80"/>
      </w:pPr>
      <w:r>
        <w:rPr>
          <w:b w:val="false"/>
          <w:bCs w:val="false"/>
        </w:rPr>
        <w:t xml:space="preserve">Hyderabad launches reached 32,577 units in the nine-month period, 6% higher YoY per Knight Frank, though Propenu's Q3-specific count of roughly 18,950 units and NoBroker's reported 46% YoY Q1 launch decline highlight how uneven the city's launch pipeline has been through 2026.</w:t>
      </w:r>
    </w:p>
    <w:p>
      <w:pPr>
        <w:pStyle w:val="ListParagraph"/>
        <w:numPr>
          <w:ilvl w:val="0"/>
          <w:numId w:val="2"/>
        </w:numPr>
        <w:spacing w:after="80"/>
      </w:pPr>
      <w:r>
        <w:rPr>
          <w:b w:val="false"/>
          <w:bCs w:val="false"/>
        </w:rPr>
        <w:t xml:space="preserve">Chennai's residential market remains comparatively weaker, with roughly 5,135 units sold in Q2 2026 — a 9% decline versus Q2 2025.</w:t>
      </w:r>
    </w:p>
    <w:p>
      <w:pPr>
        <w:spacing w:after="150"/>
      </w:pPr>
      <w:r>
        <w:rPr>
          <w:i/>
          <w:iCs/>
          <w:color w:val="595959"/>
          <w:sz w:val="18"/>
          <w:szCs w:val="18"/>
        </w:rPr>
        <w:t xml:space="preserve">Sources: Knight Frank via Business Standard (Hyderabad 9M 2026 sales/launches); Propenu (Hyderabad Q3 2026 sales/launches); Business Standard (Chennai Q2 2026 sales decline).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Knight Frank's nine-month 2026 data shows Hyderabad, Ahmedabad, Chennai and Kolkata all posting modest sales growth of 2-4%, a more subdued pace than Bengaluru and Mumbai.</w:t>
      </w:r>
    </w:p>
    <w:p>
      <w:pPr>
        <w:pStyle w:val="ListParagraph"/>
        <w:numPr>
          <w:ilvl w:val="0"/>
          <w:numId w:val="2"/>
        </w:numPr>
        <w:spacing w:after="80"/>
      </w:pPr>
      <w:r>
        <w:rPr>
          <w:b w:val="false"/>
          <w:bCs w:val="false"/>
        </w:rPr>
        <w:t xml:space="preserve">Residential sales across India's eight key markets held steady at 258,238 units in the first nine months of CY2026, with launches outpacing sales for a 16th consecutive quarter.</w:t>
      </w:r>
    </w:p>
    <w:p>
      <w:pPr>
        <w:pStyle w:val="ListParagraph"/>
        <w:numPr>
          <w:ilvl w:val="0"/>
          <w:numId w:val="2"/>
        </w:numPr>
        <w:spacing w:after="80"/>
      </w:pPr>
      <w:r>
        <w:rPr>
          <w:b w:val="false"/>
          <w:bCs w:val="false"/>
        </w:rPr>
        <w:t xml:space="preserve">Continued launch-over-sales imbalance nationally is expected to keep South India's developers focused on premium-segment pivots to sustain margins amid softer volume growth.</w:t>
      </w:r>
    </w:p>
    <w:p>
      <w:pPr>
        <w:spacing w:after="150"/>
      </w:pPr>
      <w:r>
        <w:rPr>
          <w:i/>
          <w:iCs/>
          <w:color w:val="595959"/>
          <w:sz w:val="18"/>
          <w:szCs w:val="18"/>
        </w:rPr>
        <w:t xml:space="preserve">Sources: Knight Frank via Business Standard (9M 2026 city-wise growth, national sales/launch trend).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Telangana is likely to welcome Hyderabad's continued, if modest, sales growth even as conflicting launch-volume data across sources complicates clear market-tracking.</w:t>
      </w:r>
    </w:p>
    <w:p>
      <w:pPr>
        <w:pStyle w:val="ListParagraph"/>
        <w:numPr>
          <w:ilvl w:val="0"/>
          <w:numId w:val="2"/>
        </w:numPr>
        <w:spacing w:after="80"/>
      </w:pPr>
      <w:r>
        <w:rPr>
          <w:b w:val="false"/>
          <w:bCs w:val="false"/>
        </w:rPr>
        <w:t xml:space="preserve">CREDAI Tamil Nadu is expected to flag Chennai's 9% YoY sales decline in Q2 2026 as a signal to review demand-support measures for the city's residential segment.</w:t>
      </w:r>
    </w:p>
    <w:p>
      <w:pPr>
        <w:pStyle w:val="ListParagraph"/>
        <w:numPr>
          <w:ilvl w:val="0"/>
          <w:numId w:val="2"/>
        </w:numPr>
        <w:spacing w:after="80"/>
      </w:pPr>
      <w:r>
        <w:rPr>
          <w:b w:val="false"/>
          <w:bCs w:val="false"/>
        </w:rPr>
        <w:t xml:space="preserve">The 16th consecutive quarter of launches outpacing sales nationally is likely to keep South India's RERA authorities focused on monitoring unsold inventory build-up across registered projects.</w:t>
      </w:r>
    </w:p>
    <w:p>
      <w:pPr>
        <w:spacing w:after="150"/>
      </w:pPr>
      <w:r>
        <w:rPr>
          <w:i/>
          <w:iCs/>
          <w:color w:val="595959"/>
          <w:sz w:val="18"/>
          <w:szCs w:val="18"/>
        </w:rPr>
        <w:t xml:space="preserve">Sources: Knight Frank via Business Standard; Propenu.</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57th GST Council meeting, held on 8 October 2026, marked a shift toward trust-based taxation and litigation reduction, withdrawing arrest powers under the CGST Act and raising the prosecution threshold from ₹1 crore to ₹5 crore.</w:t>
      </w:r>
    </w:p>
    <w:p>
      <w:pPr>
        <w:pStyle w:val="ListParagraph"/>
        <w:numPr>
          <w:ilvl w:val="0"/>
          <w:numId w:val="2"/>
        </w:numPr>
        <w:spacing w:after="80"/>
      </w:pPr>
      <w:r>
        <w:rPr>
          <w:b w:val="false"/>
          <w:bCs w:val="false"/>
        </w:rPr>
        <w:t xml:space="preserve">The Council recommended amending Section 17(5) of the CGST Act to remove input tax credit restrictions across several categories, though it remains unconfirmed whether construction-related ITC restrictions specifically were addressed — only a subsequent Finance Bill can enact the change.</w:t>
      </w:r>
    </w:p>
    <w:p>
      <w:pPr>
        <w:pStyle w:val="ListParagraph"/>
        <w:numPr>
          <w:ilvl w:val="0"/>
          <w:numId w:val="2"/>
        </w:numPr>
        <w:spacing w:after="80"/>
      </w:pPr>
      <w:r>
        <w:rPr>
          <w:b w:val="false"/>
          <w:bCs w:val="false"/>
        </w:rPr>
        <w:t xml:space="preserve">Residential sales across India's eight key markets held steady at 258,238 units in the first nine months of CY2026, per Knight Frank, even as launches continued to outpace sales for a 16th consecutive quarter.</w:t>
      </w:r>
    </w:p>
    <w:p>
      <w:pPr>
        <w:spacing w:after="150"/>
      </w:pPr>
      <w:r>
        <w:rPr>
          <w:i/>
          <w:iCs/>
          <w:color w:val="595959"/>
          <w:sz w:val="18"/>
          <w:szCs w:val="18"/>
        </w:rPr>
        <w:t xml:space="preserve">Sources: ANI News (57th GST Council outcome, trust-based taxation shift); A2Z Taxcorp (Section 17(5) CGST amendment); Knight Frank via Business Standard (9M 2026 sales/launch data).</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housing market has reached a plateau, with sales flat at roughly ₹3.6 lakh crore in H1 2026 even as developers continue pivoting toward premium projects to protect margins.</w:t>
      </w:r>
    </w:p>
    <w:p>
      <w:pPr>
        <w:pStyle w:val="ListParagraph"/>
        <w:numPr>
          <w:ilvl w:val="0"/>
          <w:numId w:val="2"/>
        </w:numPr>
        <w:spacing w:after="80"/>
      </w:pPr>
      <w:r>
        <w:rPr>
          <w:b w:val="false"/>
          <w:bCs w:val="false"/>
        </w:rPr>
        <w:t xml:space="preserve">The 57th GST Council's procedural reforms, including reduced litigation risk and higher prosecution thresholds, are expected to ease compliance burdens for real estate and construction businesses nationally.</w:t>
      </w:r>
    </w:p>
    <w:p>
      <w:pPr>
        <w:pStyle w:val="ListParagraph"/>
        <w:numPr>
          <w:ilvl w:val="0"/>
          <w:numId w:val="2"/>
        </w:numPr>
        <w:spacing w:after="80"/>
      </w:pPr>
      <w:r>
        <w:rPr>
          <w:b w:val="false"/>
          <w:bCs w:val="false"/>
        </w:rPr>
        <w:t xml:space="preserve">Continued ambiguity over construction-sector ITC treatment under the amended Section 17(5) is likely to keep real estate industry bodies pressing for explicit clarification once the Finance Bill is tabled.</w:t>
      </w:r>
    </w:p>
    <w:p>
      <w:pPr>
        <w:spacing w:after="150"/>
      </w:pPr>
      <w:r>
        <w:rPr>
          <w:i/>
          <w:iCs/>
          <w:color w:val="595959"/>
          <w:sz w:val="18"/>
          <w:szCs w:val="18"/>
        </w:rPr>
        <w:t xml:space="preserve">Sources: Business Standard (H1 2026 housing market plateau); ANI News; A2Z Taxcorp.</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press for explicit clarification on whether the 57th GST Council's Section 17(5) ITC amendment extends to construction of immovable property, given the sector's long-standing advocacy on this specific restriction.</w:t>
      </w:r>
    </w:p>
    <w:p>
      <w:pPr>
        <w:pStyle w:val="ListParagraph"/>
        <w:numPr>
          <w:ilvl w:val="0"/>
          <w:numId w:val="2"/>
        </w:numPr>
        <w:spacing w:after="80"/>
      </w:pPr>
      <w:r>
        <w:rPr>
          <w:b w:val="false"/>
          <w:bCs w:val="false"/>
        </w:rPr>
        <w:t xml:space="preserve">The Council's broader shift toward trust-based taxation and reduced litigation risk is expected to be welcomed by CREDAI and NAREDCO as a positive procedural reform for the sector.</w:t>
      </w:r>
    </w:p>
    <w:p>
      <w:pPr>
        <w:pStyle w:val="ListParagraph"/>
        <w:numPr>
          <w:ilvl w:val="0"/>
          <w:numId w:val="2"/>
        </w:numPr>
        <w:spacing w:after="80"/>
      </w:pPr>
      <w:r>
        <w:rPr>
          <w:b w:val="false"/>
          <w:bCs w:val="false"/>
        </w:rPr>
        <w:t xml:space="preserve">With launches outpacing sales for a 16th straight quarter nationally, CREDAI and NAREDCO are likely to keep flagging unsold-inventory risk even as they welcome the GST Council's procedural easing.</w:t>
      </w:r>
    </w:p>
    <w:p>
      <w:pPr>
        <w:spacing w:after="150"/>
      </w:pPr>
      <w:r>
        <w:rPr>
          <w:i/>
          <w:iCs/>
          <w:color w:val="595959"/>
          <w:sz w:val="18"/>
          <w:szCs w:val="18"/>
        </w:rPr>
        <w:t xml:space="preserve">Sources: ANI News; A2Z Taxcorp; Knight Frank via Business Standard.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2026-10-10T03:45:57.616Z</dcterms:created>
  <dcterms:modified xsi:type="dcterms:W3CDTF">2026-10-10T03:45:57.625Z</dcterms:modified>
</cp:coreProperties>
</file>

<file path=docProps/custom.xml><?xml version="1.0" encoding="utf-8"?>
<Properties xmlns="http://schemas.openxmlformats.org/officeDocument/2006/custom-properties" xmlns:vt="http://schemas.openxmlformats.org/officeDocument/2006/docPropsVTypes"/>
</file>