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17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Century Real Estate's sales bookings more than doubled to ₹1,062 crore during the July-September period, up from ₹452 crore a year earlier, reflecting strong renewed demand for the Bengaluru-based developer's residential projects.</w:t>
      </w:r>
    </w:p>
    <w:p>
      <w:pPr>
        <w:pStyle w:val="ListParagraph"/>
        <w:numPr>
          <w:ilvl w:val="0"/>
          <w:numId w:val="2"/>
        </w:numPr>
        <w:spacing w:after="80"/>
      </w:pPr>
      <w:r>
        <w:rPr>
          <w:b w:val="false"/>
          <w:bCs w:val="false"/>
        </w:rPr>
        <w:t xml:space="preserve">Aratt Developers has launched "Aratt Escapes – Summer and Sage," a 22-acre premium plotted-villa development in Chikkaballapur just 20 minutes from Kempegowda International Airport, comprising 300 plots (40x60 and 40x45 sizes) plus a 2-acre luxury resort component under its Ayatana brand.</w:t>
      </w:r>
    </w:p>
    <w:p>
      <w:pPr>
        <w:pStyle w:val="ListParagraph"/>
        <w:numPr>
          <w:ilvl w:val="0"/>
          <w:numId w:val="2"/>
        </w:numPr>
        <w:spacing w:after="80"/>
      </w:pPr>
      <w:r>
        <w:rPr>
          <w:b w:val="false"/>
          <w:bCs w:val="false"/>
        </w:rPr>
        <w:t xml:space="preserve">Bengaluru's 2026-27 project pipeline is one of the deepest the city has seen, with over 100 projects expected to launch over the next two years, even as the luxury segment above ₹1.5 crore already captures 63% of total market share amid a 15% YoY sales surge.</w:t>
      </w:r>
    </w:p>
    <w:p>
      <w:pPr>
        <w:spacing w:after="150"/>
      </w:pPr>
      <w:r>
        <w:rPr>
          <w:i/>
          <w:iCs/>
          <w:color w:val="595959"/>
          <w:sz w:val="18"/>
          <w:szCs w:val="18"/>
        </w:rPr>
        <w:t xml:space="preserve">Sources: Business Standard (Century Real Estate Q3 sales bookings); ConstructionWorld (Aratt Escapes launch); NoBroker/OneCityProperty (Bengaluru 2026-27 pipeline, luxury segment share).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continues to account for the country's largest deployment of workplace and office furniture, underpinned by sustained demand from Global Capability Centres, technology firms and multinational occupiers fitting out modern office environments.</w:t>
      </w:r>
    </w:p>
    <w:p>
      <w:pPr>
        <w:pStyle w:val="ListParagraph"/>
        <w:numPr>
          <w:ilvl w:val="0"/>
          <w:numId w:val="2"/>
        </w:numPr>
        <w:spacing w:after="80"/>
      </w:pPr>
      <w:r>
        <w:rPr>
          <w:b w:val="false"/>
          <w:bCs w:val="false"/>
        </w:rPr>
        <w:t xml:space="preserve">Developers are increasingly diversifying into plotted-villa formats like Chikkaballapur's Aratt Escapes to capture premium low-density demand beyond traditional apartment products, reflecting shifting buyer preferences in peripheral corridors.</w:t>
      </w:r>
    </w:p>
    <w:p>
      <w:pPr>
        <w:pStyle w:val="ListParagraph"/>
        <w:numPr>
          <w:ilvl w:val="0"/>
          <w:numId w:val="2"/>
        </w:numPr>
        <w:spacing w:after="80"/>
      </w:pPr>
      <w:r>
        <w:rPr>
          <w:b w:val="false"/>
          <w:bCs w:val="false"/>
        </w:rPr>
        <w:t xml:space="preserve">Century Real Estate's doubled Q3 bookings signal renewed developer confidence heading into the festive season, even as the city's overall residential market continues normalising from earlier peaks.</w:t>
      </w:r>
    </w:p>
    <w:p>
      <w:pPr>
        <w:spacing w:after="150"/>
      </w:pPr>
      <w:r>
        <w:rPr>
          <w:i/>
          <w:iCs/>
          <w:color w:val="595959"/>
          <w:sz w:val="18"/>
          <w:szCs w:val="18"/>
        </w:rPr>
        <w:t xml:space="preserve">Sources: Business Standard; ConstructionWorld; NoBroker/OneCityProperty.</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of large-format plotted developments like Aratt Escapes (300 plots across a 22-acre parcel) remains a priority as such projects gain scale in peripheral corridors like Chikkaballapur.</w:t>
      </w:r>
    </w:p>
    <w:p>
      <w:pPr>
        <w:pStyle w:val="ListParagraph"/>
        <w:numPr>
          <w:ilvl w:val="0"/>
          <w:numId w:val="2"/>
        </w:numPr>
        <w:spacing w:after="80"/>
      </w:pPr>
      <w:r>
        <w:rPr>
          <w:b w:val="false"/>
          <w:bCs w:val="false"/>
        </w:rPr>
        <w:t xml:space="preserve">CREDAI Karnataka continues to cite Century Real Estate's doubled Q3 bookings and Bengaluru's deep 100+ project 2026-27 pipeline as evidence of sustained developer confidence in the city's residential market.</w:t>
      </w:r>
    </w:p>
    <w:p>
      <w:pPr>
        <w:pStyle w:val="ListParagraph"/>
        <w:numPr>
          <w:ilvl w:val="0"/>
          <w:numId w:val="2"/>
        </w:numPr>
        <w:spacing w:after="80"/>
      </w:pPr>
      <w:r>
        <w:rPr>
          <w:b w:val="false"/>
          <w:bCs w:val="false"/>
        </w:rPr>
        <w:t xml:space="preserve">With luxury homes now commanding 63% of Bengaluru's total sales, Karnataka's regulatory bodies continue to monitor how this premiumisation trend is shaping new project registrations across the city and its periphery.</w:t>
      </w:r>
    </w:p>
    <w:p>
      <w:pPr>
        <w:spacing w:after="150"/>
      </w:pPr>
      <w:r>
        <w:rPr>
          <w:i/>
          <w:iCs/>
          <w:color w:val="595959"/>
          <w:sz w:val="18"/>
          <w:szCs w:val="18"/>
        </w:rPr>
        <w:t xml:space="preserve">Sources: ConstructionWorld; Business Standard; NoBroker/OneCityProperty.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Telangana's real estate registration revenue has declined over recent years — from ₹14,588.06 crore in 2023-24 to ₹14,214.42 crore in 2024-25, and just ₹12,443.64 crore by 31 January 2026 — with developers citing global uncertainty, policy concerns and cautious buyer sentiment.</w:t>
      </w:r>
    </w:p>
    <w:p>
      <w:pPr>
        <w:pStyle w:val="ListParagraph"/>
        <w:numPr>
          <w:ilvl w:val="0"/>
          <w:numId w:val="2"/>
        </w:numPr>
        <w:spacing w:after="80"/>
      </w:pPr>
      <w:r>
        <w:rPr>
          <w:b w:val="false"/>
          <w:bCs w:val="false"/>
        </w:rPr>
        <w:t xml:space="preserve">Registration revenue improved to ₹13,775.51 crore by February 2026, a tentative sign of stabilisation even as the broader multi-year decline continues to weigh on the sector's momentum.</w:t>
      </w:r>
    </w:p>
    <w:p>
      <w:pPr>
        <w:pStyle w:val="ListParagraph"/>
        <w:numPr>
          <w:ilvl w:val="0"/>
          <w:numId w:val="2"/>
        </w:numPr>
        <w:spacing w:after="80"/>
      </w:pPr>
      <w:r>
        <w:rPr>
          <w:b w:val="false"/>
          <w:bCs w:val="false"/>
        </w:rPr>
        <w:t xml:space="preserve">Kerala's mid-income housing segment is expected to drive much of the state's 2026 real estate activity, with expanding neighbourhoods beyond Kochi and Thiruvananthapuram attracting buyers seeking value alongside improving connectivity.</w:t>
      </w:r>
    </w:p>
    <w:p>
      <w:pPr>
        <w:spacing w:after="150"/>
      </w:pPr>
      <w:r>
        <w:rPr>
          <w:i/>
          <w:iCs/>
          <w:color w:val="595959"/>
          <w:sz w:val="18"/>
          <w:szCs w:val="18"/>
        </w:rPr>
        <w:t xml:space="preserve">Sources: Telangana Today (Telangana registration revenue decline and Feb 2026 uptick); Thithithara (Kerala 2026 market insights, mid-income demand).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Telangana government has amended building rules to allow additional floors, setback relaxations and expanded Transferable Development Rights (TDR) usage, specifically aimed at reviving real estate growth in Hyderabad amid the registration revenue slump.</w:t>
      </w:r>
    </w:p>
    <w:p>
      <w:pPr>
        <w:pStyle w:val="ListParagraph"/>
        <w:numPr>
          <w:ilvl w:val="0"/>
          <w:numId w:val="2"/>
        </w:numPr>
        <w:spacing w:after="80"/>
      </w:pPr>
      <w:r>
        <w:rPr>
          <w:b w:val="false"/>
          <w:bCs w:val="false"/>
        </w:rPr>
        <w:t xml:space="preserve">These regulatory incentives are designed to make new development commercially more viable for Hyderabad developers even as the city's registration revenue trend remains below 2023-24 levels.</w:t>
      </w:r>
    </w:p>
    <w:p>
      <w:pPr>
        <w:pStyle w:val="ListParagraph"/>
        <w:numPr>
          <w:ilvl w:val="0"/>
          <w:numId w:val="2"/>
        </w:numPr>
        <w:spacing w:after="80"/>
      </w:pPr>
      <w:r>
        <w:rPr>
          <w:b w:val="false"/>
          <w:bCs w:val="false"/>
        </w:rPr>
        <w:t xml:space="preserve">Kerala's emerging micro-markets beyond its established metro cores reflect a broader diversification of South India's commercial and residential investment map into value-oriented, well-connected secondary locations.</w:t>
      </w:r>
    </w:p>
    <w:p>
      <w:pPr>
        <w:spacing w:after="150"/>
      </w:pPr>
      <w:r>
        <w:rPr>
          <w:i/>
          <w:iCs/>
          <w:color w:val="595959"/>
          <w:sz w:val="18"/>
          <w:szCs w:val="18"/>
        </w:rPr>
        <w:t xml:space="preserve">Sources: Telangana Today (TDR, setback and floor-rule amendments); Thithithara.</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Telangana's registration revenue slump is likely prompting CREDAI Telangana to push hard for the state's new building-rule incentives — extra floors, setback relaxation, expanded TDR — to translate into fresh project launches and registrations.</w:t>
      </w:r>
    </w:p>
    <w:p>
      <w:pPr>
        <w:pStyle w:val="ListParagraph"/>
        <w:numPr>
          <w:ilvl w:val="0"/>
          <w:numId w:val="2"/>
        </w:numPr>
        <w:spacing w:after="80"/>
      </w:pPr>
      <w:r>
        <w:rPr>
          <w:b w:val="false"/>
          <w:bCs w:val="false"/>
        </w:rPr>
        <w:t xml:space="preserve">TG-RERA's oversight of Hyderabad's evolving building norms will be critical as developers begin utilising the newly relaxed floor and setback rules across new and existing project registrations.</w:t>
      </w:r>
    </w:p>
    <w:p>
      <w:pPr>
        <w:pStyle w:val="ListParagraph"/>
        <w:numPr>
          <w:ilvl w:val="0"/>
          <w:numId w:val="2"/>
        </w:numPr>
        <w:spacing w:after="80"/>
      </w:pPr>
      <w:r>
        <w:rPr>
          <w:b w:val="false"/>
          <w:bCs w:val="false"/>
        </w:rPr>
        <w:t xml:space="preserve">CREDAI Kerala is likely watching the state's expanding mid-income micro-markets beyond Kochi and Thiruvananthapuram as a fresh registration growth opportunity for member developers.</w:t>
      </w:r>
    </w:p>
    <w:p>
      <w:pPr>
        <w:spacing w:after="150"/>
      </w:pPr>
      <w:r>
        <w:rPr>
          <w:i/>
          <w:iCs/>
          <w:color w:val="595959"/>
          <w:sz w:val="18"/>
          <w:szCs w:val="18"/>
        </w:rPr>
        <w:t xml:space="preserve">Sources: Telangana Today; Thithithara.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NRI participation in Indian property purchases is projected to rise dramatically to 18-20% by 2026, up sharply from just 7-10% during 2015-18, as rising incomes and favourable currency conditions draw overseas capital.</w:t>
      </w:r>
    </w:p>
    <w:p>
      <w:pPr>
        <w:pStyle w:val="ListParagraph"/>
        <w:numPr>
          <w:ilvl w:val="0"/>
          <w:numId w:val="2"/>
        </w:numPr>
        <w:spacing w:after="80"/>
      </w:pPr>
      <w:r>
        <w:rPr>
          <w:b w:val="false"/>
          <w:bCs w:val="false"/>
        </w:rPr>
        <w:t xml:space="preserve">Luxury new launches nationally are expected to exceed 300,000 units, fuelled by rising incomes and growing NRI participation in premium housing across India's top metros.</w:t>
      </w:r>
    </w:p>
    <w:p>
      <w:pPr>
        <w:pStyle w:val="ListParagraph"/>
        <w:numPr>
          <w:ilvl w:val="0"/>
          <w:numId w:val="2"/>
        </w:numPr>
        <w:spacing w:after="80"/>
      </w:pPr>
      <w:r>
        <w:rPr>
          <w:b w:val="false"/>
          <w:bCs w:val="false"/>
        </w:rPr>
        <w:t xml:space="preserve">With the Indian Rupee trading above ₹90 to the US Dollar in 2026, NRIs earning in USD, GBP, EUR or AED have significantly higher purchasing power when investing in Indian real estate this year.</w:t>
      </w:r>
    </w:p>
    <w:p>
      <w:pPr>
        <w:spacing w:after="150"/>
      </w:pPr>
      <w:r>
        <w:rPr>
          <w:i/>
          <w:iCs/>
          <w:color w:val="595959"/>
          <w:sz w:val="18"/>
          <w:szCs w:val="18"/>
        </w:rPr>
        <w:t xml:space="preserve">Sources: BPTP/Prateek Group (NRI share projection, luxury launch volume); M3M Premium (rupee depreciation, NRI purchasing power).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AI-driven property tools, virtual property tours and blockchain-based transaction systems are making NRI real estate transactions faster, more secure and more transparent across India's top investment markets.</w:t>
      </w:r>
    </w:p>
    <w:p>
      <w:pPr>
        <w:pStyle w:val="ListParagraph"/>
        <w:numPr>
          <w:ilvl w:val="0"/>
          <w:numId w:val="2"/>
        </w:numPr>
        <w:spacing w:after="80"/>
      </w:pPr>
      <w:r>
        <w:rPr>
          <w:b w:val="false"/>
          <w:bCs w:val="false"/>
        </w:rPr>
        <w:t xml:space="preserve">Buyers and investors, including NRIs, are increasingly prioritising eco-friendly, ESG-compliant homes, reinforcing the broader national shift toward green-certified residential and commercial stock.</w:t>
      </w:r>
    </w:p>
    <w:p>
      <w:pPr>
        <w:pStyle w:val="ListParagraph"/>
        <w:numPr>
          <w:ilvl w:val="0"/>
          <w:numId w:val="2"/>
        </w:numPr>
        <w:spacing w:after="80"/>
      </w:pPr>
      <w:r>
        <w:rPr>
          <w:b w:val="false"/>
          <w:bCs w:val="false"/>
        </w:rPr>
        <w:t xml:space="preserve">Gurgaon's Golf Course Extension Road and Dwarka Expressway lead NRI investment preference nationally for balanced capital appreciation and rental yield, even as South Indian cities continue drawing significant overseas interest.</w:t>
      </w:r>
    </w:p>
    <w:p>
      <w:pPr>
        <w:spacing w:after="150"/>
      </w:pPr>
      <w:r>
        <w:rPr>
          <w:i/>
          <w:iCs/>
          <w:color w:val="595959"/>
          <w:sz w:val="18"/>
          <w:szCs w:val="18"/>
        </w:rPr>
        <w:t xml:space="preserve">Sources: M3M Premium (AI/blockchain-driven transactions, ESG preference); Khushi Housing Solutions (top NRI investment hotspots).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Nearly half of NRI property owners nationally are planning to further diversify their India real estate investments, per the Remittor Annual NRI Wealth Report 2026 — a strong signal for continued capital inflows into the sector.</w:t>
      </w:r>
    </w:p>
    <w:p>
      <w:pPr>
        <w:pStyle w:val="ListParagraph"/>
        <w:numPr>
          <w:ilvl w:val="0"/>
          <w:numId w:val="2"/>
        </w:numPr>
        <w:spacing w:after="80"/>
      </w:pPr>
      <w:r>
        <w:rPr>
          <w:b w:val="false"/>
          <w:bCs w:val="false"/>
        </w:rPr>
        <w:t xml:space="preserve">Telangana's building-rule reforms (extra floors, setback relaxation, expanded TDR) to counter its registration revenue slump could serve as a template other states facing similar softness may consider adopting.</w:t>
      </w:r>
    </w:p>
    <w:p>
      <w:pPr>
        <w:pStyle w:val="ListParagraph"/>
        <w:numPr>
          <w:ilvl w:val="0"/>
          <w:numId w:val="2"/>
        </w:numPr>
        <w:spacing w:after="80"/>
      </w:pPr>
      <w:r>
        <w:rPr>
          <w:b w:val="false"/>
          <w:bCs w:val="false"/>
        </w:rPr>
        <w:t xml:space="preserve">Rising NRI participation (projected 18-20% share by 2026) is expected to keep CREDAI and NAREDCO focused on NRI-friendly registration, documentation and repatriation processes nationally.</w:t>
      </w:r>
    </w:p>
    <w:p>
      <w:pPr>
        <w:spacing w:after="150"/>
      </w:pPr>
      <w:r>
        <w:rPr>
          <w:i/>
          <w:iCs/>
          <w:color w:val="595959"/>
          <w:sz w:val="18"/>
          <w:szCs w:val="18"/>
        </w:rPr>
        <w:t xml:space="preserve">Sources: Great Andhra (Remittor Annual NRI Wealth Report 2026); Telangana Today.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2026-09-17T03:40:04.391Z</dcterms:created>
  <dcterms:modified xsi:type="dcterms:W3CDTF">2026-09-17T03:40:04.391Z</dcterms:modified>
</cp:coreProperties>
</file>

<file path=docProps/custom.xml><?xml version="1.0" encoding="utf-8"?>
<Properties xmlns="http://schemas.openxmlformats.org/officeDocument/2006/custom-properties" xmlns:vt="http://schemas.openxmlformats.org/officeDocument/2006/docPropsVTypes"/>
</file>