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24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Whitefield's property prices have reached ₹13,000 per sq ft in 2026, up 13% YoY, with top-tier gated communities in the corridor now crossing ₹15,000 per sq ft.</w:t>
      </w:r>
    </w:p>
    <w:p>
      <w:pPr>
        <w:pStyle w:val="ListParagraph"/>
        <w:numPr>
          <w:ilvl w:val="0"/>
          <w:numId w:val="2"/>
        </w:numPr>
        <w:spacing w:after="80"/>
      </w:pPr>
      <w:r>
        <w:rPr>
          <w:b w:val="false"/>
          <w:bCs w:val="false"/>
        </w:rPr>
        <w:t xml:space="preserve">Electronic City remains Bengaluru's most affordable large employment hub at ₹5,000-8,500 per sq ft — firmest near Phase 1 and metro stations, cheapest toward Chandapura and Bommasandra — keeping it well under Whitefield or ORR pricing.</w:t>
      </w:r>
    </w:p>
    <w:p>
      <w:pPr>
        <w:pStyle w:val="ListParagraph"/>
        <w:numPr>
          <w:ilvl w:val="0"/>
          <w:numId w:val="2"/>
        </w:numPr>
        <w:spacing w:after="80"/>
      </w:pPr>
      <w:r>
        <w:rPr>
          <w:b w:val="false"/>
          <w:bCs w:val="false"/>
        </w:rPr>
        <w:t xml:space="preserve">Bellandur commands the highest pricing of the three corridors at ₹14,299-15,208 per sq ft (Housing.com/Magicbricks Q2 2026 data), up 8.1% YoY, underscoring sharp micro-market divergence across the ORR belt.</w:t>
      </w:r>
    </w:p>
    <w:p>
      <w:pPr>
        <w:pStyle w:val="ListParagraph"/>
        <w:numPr>
          <w:ilvl w:val="0"/>
          <w:numId w:val="2"/>
        </w:numPr>
        <w:spacing w:after="80"/>
      </w:pPr>
      <w:r>
        <w:rPr>
          <w:b w:val="false"/>
          <w:bCs w:val="false"/>
        </w:rPr>
        <w:t xml:space="preserve">Bengaluru recorded 12,544 residential launches in Q2 2026, up 4% YoY, pushing H1 2026 launches past 25,000 units — the city's strongest first half on record.</w:t>
      </w:r>
    </w:p>
    <w:p>
      <w:pPr>
        <w:spacing w:after="150"/>
      </w:pPr>
      <w:r>
        <w:rPr>
          <w:i/>
          <w:iCs/>
          <w:color w:val="595959"/>
          <w:sz w:val="18"/>
          <w:szCs w:val="18"/>
        </w:rPr>
        <w:t xml:space="preserve">Sources: 99acres/HexaHome (Whitefield pricing); NxtFootstep (Electronic City pricing); Housing.com/Magicbricks via bangaloreupcomingresidentialprojects.com (Bellandur pricing); Cushman &amp; Wakefield (Q2 2026 launch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retail leasing rose to roughly 0.25 million sq ft in Q2 2026, up 19% QoQ and 42% YoY, with main-street formats capturing a 68% share led by Indiranagar, Brigade Road, Koramangala and Sarjapur Road.</w:t>
      </w:r>
    </w:p>
    <w:p>
      <w:pPr>
        <w:pStyle w:val="ListParagraph"/>
        <w:numPr>
          <w:ilvl w:val="0"/>
          <w:numId w:val="2"/>
        </w:numPr>
        <w:spacing w:after="80"/>
      </w:pPr>
      <w:r>
        <w:rPr>
          <w:b w:val="false"/>
          <w:bCs w:val="false"/>
        </w:rPr>
        <w:t xml:space="preserve">The city's warehousing and industrial market leased 3.1 million sq ft in H1 2026, driven by robust demand from 3PL operators, e-commerce players and manufacturing occupiers.</w:t>
      </w:r>
    </w:p>
    <w:p>
      <w:pPr>
        <w:pStyle w:val="ListParagraph"/>
        <w:numPr>
          <w:ilvl w:val="0"/>
          <w:numId w:val="2"/>
        </w:numPr>
        <w:spacing w:after="80"/>
      </w:pPr>
      <w:r>
        <w:rPr>
          <w:b w:val="false"/>
          <w:bCs w:val="false"/>
        </w:rPr>
        <w:t xml:space="preserve">Continued price divergence across Whitefield, Electronic City and Bellandur is reinforcing occupier and developer interest in mixed live-work corridors along the ORR and Sarjapur belt.</w:t>
      </w:r>
    </w:p>
    <w:p>
      <w:pPr>
        <w:spacing w:after="150"/>
      </w:pPr>
      <w:r>
        <w:rPr>
          <w:i/>
          <w:iCs/>
          <w:color w:val="595959"/>
          <w:sz w:val="18"/>
          <w:szCs w:val="18"/>
        </w:rPr>
        <w:t xml:space="preserve">Sources: Cushman &amp; Wakefield (Bengaluru retail leasing, warehousing demand).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Karnataka's Kaveri 2.0 online property-registration portal, rolled out through 2026, is streamlining deed registration and title verification for the state's high-volume residential transactions.</w:t>
      </w:r>
    </w:p>
    <w:p>
      <w:pPr>
        <w:pStyle w:val="ListParagraph"/>
        <w:numPr>
          <w:ilvl w:val="0"/>
          <w:numId w:val="2"/>
        </w:numPr>
        <w:spacing w:after="80"/>
      </w:pPr>
      <w:r>
        <w:rPr>
          <w:b w:val="false"/>
          <w:bCs w:val="false"/>
        </w:rPr>
        <w:t xml:space="preserve">K-RERA now has 8,357 registered projects and 5,417 registered real estate agents statewide, with Bengaluru accounting for the bulk of apartment, villa and plotted-layout registrations.</w:t>
      </w:r>
    </w:p>
    <w:p>
      <w:pPr>
        <w:pStyle w:val="ListParagraph"/>
        <w:numPr>
          <w:ilvl w:val="0"/>
          <w:numId w:val="2"/>
        </w:numPr>
        <w:spacing w:after="80"/>
      </w:pPr>
      <w:r>
        <w:rPr>
          <w:b w:val="false"/>
          <w:bCs w:val="false"/>
        </w:rPr>
        <w:t xml:space="preserve">The state continues improving compatibility between local municipal laws and RERA, promoting vertical development via higher FAR and expanded TDR to unlock peripheral land supply while preserving buyer protections.</w:t>
      </w:r>
    </w:p>
    <w:p>
      <w:pPr>
        <w:spacing w:after="150"/>
      </w:pPr>
      <w:r>
        <w:rPr>
          <w:i/>
          <w:iCs/>
          <w:color w:val="595959"/>
          <w:sz w:val="18"/>
          <w:szCs w:val="18"/>
        </w:rPr>
        <w:t xml:space="preserve">Sources: OneCityProperty (Kaveri 2.0 portal); RealEstateIndia.com/RERAScore (K-RERA project and agent registrations); Brigade Group (FAR/TDR municipal-RERA alignment).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West Zone — Kokapet, Tellapur, Financial District, Kollur and Nanakramguda — continues to account for 70-75% of the city's new residential launches, though H1 2026 volumes of just 9,100-10,700 units trail well behind the 41,061 units launched across all of 2025.</w:t>
      </w:r>
    </w:p>
    <w:p>
      <w:pPr>
        <w:pStyle w:val="ListParagraph"/>
        <w:numPr>
          <w:ilvl w:val="0"/>
          <w:numId w:val="2"/>
        </w:numPr>
        <w:spacing w:after="80"/>
      </w:pPr>
      <w:r>
        <w:rPr>
          <w:b w:val="false"/>
          <w:bCs w:val="false"/>
        </w:rPr>
        <w:t xml:space="preserve">Brigade Enterprises has launched Brigade Morgan Heights, a 14.7-acre, 1,250-unit residential project along Chennai's Sholinganallur-Medavakkam Road, carrying an estimated gross development value of ₹2,100 crore.</w:t>
      </w:r>
    </w:p>
    <w:p>
      <w:pPr>
        <w:pStyle w:val="ListParagraph"/>
        <w:numPr>
          <w:ilvl w:val="0"/>
          <w:numId w:val="2"/>
        </w:numPr>
        <w:spacing w:after="80"/>
      </w:pPr>
      <w:r>
        <w:rPr>
          <w:b w:val="false"/>
          <w:bCs w:val="false"/>
        </w:rPr>
        <w:t xml:space="preserve">Kochi's premium residential supply continues to concentrate in Kakkanad, Edappally, Vyttila and Marine Drive, with multiple top developers actively marketing 2, 3 and 4 BHK apartments across these established micro-markets.</w:t>
      </w:r>
    </w:p>
    <w:p>
      <w:pPr>
        <w:spacing w:after="150"/>
      </w:pPr>
      <w:r>
        <w:rPr>
          <w:i/>
          <w:iCs/>
          <w:color w:val="595959"/>
          <w:sz w:val="18"/>
          <w:szCs w:val="18"/>
        </w:rPr>
        <w:t xml:space="preserve">Sources: Homefleet/Kokapetnewprojects (Hyderabad West Zone launch share and volumes); Wikipedia/Casagrand (Brigade Morgan Heights, Chennai); Kochiprojects.com (Kochi premium launch pipeline).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Outer Ring Road and Financial District proximity continue to make Tellapur, Kokapet, Gopanpally and Rajendra Nagar the city's most sought-after corridors for both residential and supporting commercial activity.</w:t>
      </w:r>
    </w:p>
    <w:p>
      <w:pPr>
        <w:pStyle w:val="ListParagraph"/>
        <w:numPr>
          <w:ilvl w:val="0"/>
          <w:numId w:val="2"/>
        </w:numPr>
        <w:spacing w:after="80"/>
      </w:pPr>
      <w:r>
        <w:rPr>
          <w:b w:val="false"/>
          <w:bCs w:val="false"/>
        </w:rPr>
        <w:t xml:space="preserve">Brigade Morgan Heights' Sholinganallur-Medavakkam Road location places it directly within Chennai's OMR-adjacent IT and GCC employment catchment, reinforcing sustained demand along the corridor.</w:t>
      </w:r>
    </w:p>
    <w:p>
      <w:pPr>
        <w:pStyle w:val="ListParagraph"/>
        <w:numPr>
          <w:ilvl w:val="0"/>
          <w:numId w:val="2"/>
        </w:numPr>
        <w:spacing w:after="80"/>
      </w:pPr>
      <w:r>
        <w:rPr>
          <w:b w:val="false"/>
          <w:bCs w:val="false"/>
        </w:rPr>
        <w:t xml:space="preserve">The continued West Zone concentration of Hyderabad launches is placing incremental pressure on retail, social infrastructure and commercial-support development across Kokapet and Tellapur.</w:t>
      </w:r>
    </w:p>
    <w:p>
      <w:pPr>
        <w:spacing w:after="150"/>
      </w:pPr>
      <w:r>
        <w:rPr>
          <w:i/>
          <w:iCs/>
          <w:color w:val="595959"/>
          <w:sz w:val="18"/>
          <w:szCs w:val="18"/>
        </w:rPr>
        <w:t xml:space="preserve">Sources: Homefleet/Kokapetnewprojects; Wikipedia/Casagrand.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track the sharp slowdown in Hyderabad launches (9,100-10,700 units in H1 2026 versus 41,061 across all of 2025) as a signal to recalibrate near-term registration and launch planning.</w:t>
      </w:r>
    </w:p>
    <w:p>
      <w:pPr>
        <w:pStyle w:val="ListParagraph"/>
        <w:numPr>
          <w:ilvl w:val="0"/>
          <w:numId w:val="2"/>
        </w:numPr>
        <w:spacing w:after="80"/>
      </w:pPr>
      <w:r>
        <w:rPr>
          <w:b w:val="false"/>
          <w:bCs w:val="false"/>
        </w:rPr>
        <w:t xml:space="preserve">Brigade's large-format Chennai launch (Brigade Morgan Heights, ₹2,100 crore GDV) gives CREDAI Tamil Nadu a fresh benchmark for OMR-adjacent project registrations heading into the festive season.</w:t>
      </w:r>
    </w:p>
    <w:p>
      <w:pPr>
        <w:pStyle w:val="ListParagraph"/>
        <w:numPr>
          <w:ilvl w:val="0"/>
          <w:numId w:val="2"/>
        </w:numPr>
        <w:spacing w:after="80"/>
      </w:pPr>
      <w:r>
        <w:rPr>
          <w:b w:val="false"/>
          <w:bCs w:val="false"/>
        </w:rPr>
        <w:t xml:space="preserve">CREDAI Kerala continues to monitor Kochi's steady premium-apartment pipeline across Kakkanad, Edappally, Vyttila and Marine Drive as a stable, mature segment within the state's broader residential market.</w:t>
      </w:r>
    </w:p>
    <w:p>
      <w:pPr>
        <w:spacing w:after="150"/>
      </w:pPr>
      <w:r>
        <w:rPr>
          <w:i/>
          <w:iCs/>
          <w:color w:val="595959"/>
          <w:sz w:val="18"/>
          <w:szCs w:val="18"/>
        </w:rPr>
        <w:t xml:space="preserve">Sources: Homefleet/Kokapetnewprojects; Wikipedia/Casagrand; Kochiprojects.com.</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Homes priced above ₹1 crore accounted for 54% of India's residential sales in H1 2026, up from 49% a year earlier, with the average ticket size climbing to roughly ₹1.47 crore per the India Housing Report 2026 (CRE Matrix &amp; NAR-INDIA).</w:t>
      </w:r>
    </w:p>
    <w:p>
      <w:pPr>
        <w:pStyle w:val="ListParagraph"/>
        <w:numPr>
          <w:ilvl w:val="0"/>
          <w:numId w:val="2"/>
        </w:numPr>
        <w:spacing w:after="80"/>
      </w:pPr>
      <w:r>
        <w:rPr>
          <w:b w:val="false"/>
          <w:bCs w:val="false"/>
        </w:rPr>
        <w:t xml:space="preserve">India's ultra-luxury segment (₹20-50 crore homes) recorded 371 sales across major cities in H1 2026, more than double the 181 sales seen in H1 2025 — a 105% YoY surge.</w:t>
      </w:r>
    </w:p>
    <w:p>
      <w:pPr>
        <w:pStyle w:val="ListParagraph"/>
        <w:numPr>
          <w:ilvl w:val="0"/>
          <w:numId w:val="2"/>
        </w:numPr>
        <w:spacing w:after="80"/>
      </w:pPr>
      <w:r>
        <w:rPr>
          <w:b w:val="false"/>
          <w:bCs w:val="false"/>
        </w:rPr>
        <w:t xml:space="preserve">Bengaluru, the Mumbai Metropolitan Region and Hyderabad together accounted for roughly 66% of total residential sales value nationally in H1 2026, underscoring continued demand concentration in these three metros.</w:t>
      </w:r>
    </w:p>
    <w:p>
      <w:pPr>
        <w:spacing w:after="150"/>
      </w:pPr>
      <w:r>
        <w:rPr>
          <w:i/>
          <w:iCs/>
          <w:color w:val="595959"/>
          <w:sz w:val="18"/>
          <w:szCs w:val="18"/>
        </w:rPr>
        <w:t xml:space="preserve">Sources: CRE Matrix/NAR-INDIA India Housing Report 2026 (₹1-crore-plus sales share, ticket size, ultra-luxury and metro concentration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operational office REIT portfolio surged 74% YoY to 167 million sq ft in H1 2026, up from 95.8 million sq ft in H1 2025, with a further 36 million sq ft of listed REIT space under construction.</w:t>
      </w:r>
    </w:p>
    <w:p>
      <w:pPr>
        <w:pStyle w:val="ListParagraph"/>
        <w:numPr>
          <w:ilvl w:val="0"/>
          <w:numId w:val="2"/>
        </w:numPr>
        <w:spacing w:after="80"/>
      </w:pPr>
      <w:r>
        <w:rPr>
          <w:b w:val="false"/>
          <w:bCs w:val="false"/>
        </w:rPr>
        <w:t xml:space="preserve">Office leasing hit a record 82.6 million sq ft in 2025, with GCCs driving 45% of demand; 2026 net absorption is projected to reach roughly 55 million sq ft nationally.</w:t>
      </w:r>
    </w:p>
    <w:p>
      <w:pPr>
        <w:pStyle w:val="ListParagraph"/>
        <w:numPr>
          <w:ilvl w:val="0"/>
          <w:numId w:val="2"/>
        </w:numPr>
        <w:spacing w:after="80"/>
      </w:pPr>
      <w:r>
        <w:rPr>
          <w:b w:val="false"/>
          <w:bCs w:val="false"/>
        </w:rPr>
        <w:t xml:space="preserve">India's operational retail REIT portfolio stood at 11 million sq ft, while the warehousing InvIT portfolio reached 44.2 million sq ft as of June 2026, reflecting continued institutionalisation across all major commercial asset classes.</w:t>
      </w:r>
    </w:p>
    <w:p>
      <w:pPr>
        <w:spacing w:after="150"/>
      </w:pPr>
      <w:r>
        <w:rPr>
          <w:i/>
          <w:iCs/>
          <w:color w:val="595959"/>
          <w:sz w:val="18"/>
          <w:szCs w:val="18"/>
        </w:rPr>
        <w:t xml:space="preserve">Sources: ASSOCHAM-Knight Frank (office REIT portfolio growth, H1 2026); Colliers/Cushman &amp; Wakefield (2025 leasing record, 2026 absorption outlook, retail/warehousing REIT-InvIT data).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sharp rise in ₹1-crore-plus and ultra-luxury home sales as evidence of sustained high-end demand, even as affordability concerns persist in the mass and mid-income segments.</w:t>
      </w:r>
    </w:p>
    <w:p>
      <w:pPr>
        <w:pStyle w:val="ListParagraph"/>
        <w:numPr>
          <w:ilvl w:val="0"/>
          <w:numId w:val="2"/>
        </w:numPr>
        <w:spacing w:after="80"/>
      </w:pPr>
      <w:r>
        <w:rPr>
          <w:b w:val="false"/>
          <w:bCs w:val="false"/>
        </w:rPr>
        <w:t xml:space="preserve">The continued expansion of REITs, SM-REITs and InvITs across office, retail and warehousing asset classes is expected to remain a key advocacy priority for CREDAI and NAREDCO as institutional capital deepens nationally.</w:t>
      </w:r>
    </w:p>
    <w:p>
      <w:pPr>
        <w:pStyle w:val="ListParagraph"/>
        <w:numPr>
          <w:ilvl w:val="0"/>
          <w:numId w:val="2"/>
        </w:numPr>
        <w:spacing w:after="80"/>
      </w:pPr>
      <w:r>
        <w:rPr>
          <w:b w:val="false"/>
          <w:bCs w:val="false"/>
        </w:rPr>
        <w:t xml:space="preserve">With Bengaluru, MMR and Hyderabad together driving roughly two-thirds of residential sales value, state-level RERA bodies in Karnataka, Maharashtra and Telangana continue to carry a disproportionate share of national registration and compliance oversight.</w:t>
      </w:r>
    </w:p>
    <w:p>
      <w:pPr>
        <w:spacing w:after="150"/>
      </w:pPr>
      <w:r>
        <w:rPr>
          <w:i/>
          <w:iCs/>
          <w:color w:val="595959"/>
          <w:sz w:val="18"/>
          <w:szCs w:val="18"/>
        </w:rPr>
        <w:t xml:space="preserve">Sources: CRE Matrix/NAR-INDIA India Housing Report 2026; ASSOCHAM-Knight Frank.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2026-09-24T03:50:46.027Z</dcterms:created>
  <dcterms:modified xsi:type="dcterms:W3CDTF">2026-09-24T03:50:46.040Z</dcterms:modified>
</cp:coreProperties>
</file>

<file path=docProps/custom.xml><?xml version="1.0" encoding="utf-8"?>
<Properties xmlns="http://schemas.openxmlformats.org/officeDocument/2006/custom-properties" xmlns:vt="http://schemas.openxmlformats.org/officeDocument/2006/docPropsVTypes"/>
</file>