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Wednesday, 9 September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Prestige Estates is set to launch projects with an aggregate Gross Development Value of roughly ₹5,000 crore during Q2 FY27, per Nomura, with a pipeline spanning multiple Bengaluru projects alongside Palm Court in Chennai.</w:t>
      </w:r>
    </w:p>
    <w:p>
      <w:pPr>
        <w:pStyle w:val="ListParagraph"/>
        <w:numPr>
          <w:ilvl w:val="0"/>
          <w:numId w:val="2"/>
        </w:numPr>
        <w:spacing w:after="80"/>
      </w:pPr>
      <w:r>
        <w:rPr>
          <w:b w:val="false"/>
          <w:bCs w:val="false"/>
        </w:rPr>
        <w:t xml:space="preserve">September 2026's wave of large residential launches spans North, East and South Bengaluru, with Whitefield, Sarjapur Road, Devanahalli, Hennur Road, Yelahanka and Kanakapura Road all continuing to draw buyer interest across premium apartments, villas and plotted developments.</w:t>
      </w:r>
    </w:p>
    <w:p>
      <w:pPr>
        <w:pStyle w:val="ListParagraph"/>
        <w:numPr>
          <w:ilvl w:val="0"/>
          <w:numId w:val="2"/>
        </w:numPr>
        <w:spacing w:after="80"/>
      </w:pPr>
      <w:r>
        <w:rPr>
          <w:b w:val="false"/>
          <w:bCs w:val="false"/>
        </w:rPr>
        <w:t xml:space="preserve">Bengaluru's Q2 2026 residential launches totalled 12,544 units, up 4% YoY, reflecting steady momentum even as the city's leading developers ramp up fresh supply into the festive season.</w:t>
      </w:r>
    </w:p>
    <w:p>
      <w:pPr>
        <w:spacing w:after="150"/>
      </w:pPr>
      <w:r>
        <w:rPr>
          <w:i/>
          <w:iCs/>
          <w:color w:val="595959"/>
          <w:sz w:val="18"/>
          <w:szCs w:val="18"/>
        </w:rPr>
        <w:t xml:space="preserve">Sources: Aparna Decors (September 2026 launch outlook, Prestige Estates GDV pipeline); NewProjectBangalore/BangaloreUpcomingProjects (corridor-wide launch activity).</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Prestige Estates is targeting approximately ₹60,000 crore in residential and commercial launches for FY26 company-wide, underscoring the scale of Bengaluru's leading developer's expansion ambitions across its home market and beyond.</w:t>
      </w:r>
    </w:p>
    <w:p>
      <w:pPr>
        <w:pStyle w:val="ListParagraph"/>
        <w:numPr>
          <w:ilvl w:val="0"/>
          <w:numId w:val="2"/>
        </w:numPr>
        <w:spacing w:after="80"/>
      </w:pPr>
      <w:r>
        <w:rPr>
          <w:b w:val="false"/>
          <w:bCs w:val="false"/>
        </w:rPr>
        <w:t xml:space="preserve">The company acquired 102 acres across Bengaluru, Hyderabad, Chennai and Mumbai in Q1 FY26 for residential projects carrying a combined estimated GDV of ₹20,400 crore, reflecting continued aggressive land-banking by the city's top developer.</w:t>
      </w:r>
    </w:p>
    <w:p>
      <w:pPr>
        <w:pStyle w:val="ListParagraph"/>
        <w:numPr>
          <w:ilvl w:val="0"/>
          <w:numId w:val="2"/>
        </w:numPr>
        <w:spacing w:after="80"/>
      </w:pPr>
      <w:r>
        <w:rPr>
          <w:b w:val="false"/>
          <w:bCs w:val="false"/>
        </w:rPr>
        <w:t xml:space="preserve">Continued large-format land acquisition and launch activity by Bengaluru-headquartered developers is reinforcing the city's role as the anchor market for several pan-India developers' growth strategies.</w:t>
      </w:r>
    </w:p>
    <w:p>
      <w:pPr>
        <w:spacing w:after="150"/>
      </w:pPr>
      <w:r>
        <w:rPr>
          <w:i/>
          <w:iCs/>
          <w:color w:val="595959"/>
          <w:sz w:val="18"/>
          <w:szCs w:val="18"/>
        </w:rPr>
        <w:t xml:space="preserve">Sources: RealtyPromoo (Prestige Estates Q1 FY26 land acquisitions); Multibagg.ai (Prestige FY26 launch target).</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K-RERA's registration oversight is set to intensify as Prestige Estates and other major developers roll out their September 2026 launch wave across Whitefield, Sarjapur Road, Devanahalli, Hennur Road, Yelahanka and Kanakapura Road simultaneously.</w:t>
      </w:r>
    </w:p>
    <w:p>
      <w:pPr>
        <w:pStyle w:val="ListParagraph"/>
        <w:numPr>
          <w:ilvl w:val="0"/>
          <w:numId w:val="2"/>
        </w:numPr>
        <w:spacing w:after="80"/>
      </w:pPr>
      <w:r>
        <w:rPr>
          <w:b w:val="false"/>
          <w:bCs w:val="false"/>
        </w:rPr>
        <w:t xml:space="preserve">CREDAI Karnataka continues to track the scale of Prestige Estates' FY26 launch ambitions (~₹60,000 crore) and Q1 land acquisitions (102 acres, ₹20,400 crore GDV) as indicators of sustained developer confidence in Bengaluru's market depth.</w:t>
      </w:r>
    </w:p>
    <w:p>
      <w:pPr>
        <w:pStyle w:val="ListParagraph"/>
        <w:numPr>
          <w:ilvl w:val="0"/>
          <w:numId w:val="2"/>
        </w:numPr>
        <w:spacing w:after="80"/>
      </w:pPr>
      <w:r>
        <w:rPr>
          <w:b w:val="false"/>
          <w:bCs w:val="false"/>
        </w:rPr>
        <w:t xml:space="preserve">With large-format launches spanning nearly every major Bengaluru corridor this month, Karnataka's regulatory bodies face a concentrated registration and compliance workload heading into the festive season.</w:t>
      </w:r>
    </w:p>
    <w:p>
      <w:pPr>
        <w:spacing w:after="150"/>
      </w:pPr>
      <w:r>
        <w:rPr>
          <w:i/>
          <w:iCs/>
          <w:color w:val="595959"/>
          <w:sz w:val="18"/>
          <w:szCs w:val="18"/>
        </w:rPr>
        <w:t xml:space="preserve">Sources: Aparna Decors; RealtyPromoo; Multibagg.ai.</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The Telangana Cabinet has approved merging 27 municipalities and corporations abutting the Outer Ring Road into the Greater Hyderabad Municipal Corporation, more than tripling GHMC's geographic size to ensure homogeneous development across the city's rapidly urbanising periphery.</w:t>
      </w:r>
    </w:p>
    <w:p>
      <w:pPr>
        <w:pStyle w:val="ListParagraph"/>
        <w:numPr>
          <w:ilvl w:val="0"/>
          <w:numId w:val="2"/>
        </w:numPr>
        <w:spacing w:after="80"/>
      </w:pPr>
      <w:r>
        <w:rPr>
          <w:b w:val="false"/>
          <w:bCs w:val="false"/>
        </w:rPr>
        <w:t xml:space="preserve">Hyderabad recorded 9,541 home sales in Q1 2026, with the weighted average residential price rising 9% YoY to ₹8,211 per sq ft; West Hyderabad led new launches with a 65% share, concentrated around the Financial District and Nanakramguda.</w:t>
      </w:r>
    </w:p>
    <w:p>
      <w:pPr>
        <w:pStyle w:val="ListParagraph"/>
        <w:numPr>
          <w:ilvl w:val="0"/>
          <w:numId w:val="2"/>
        </w:numPr>
        <w:spacing w:after="80"/>
      </w:pPr>
      <w:r>
        <w:rPr>
          <w:b w:val="false"/>
          <w:bCs w:val="false"/>
        </w:rPr>
        <w:t xml:space="preserve">Prestige Estates launched Prestige Pallavaram Gardens on Chennai's Pallavaram-Thoraipakkam Radial Road — a 21.84-acre, 2,069-apartment project carrying a Gross Development Value of ₹3,350 crore.</w:t>
      </w:r>
    </w:p>
    <w:p>
      <w:pPr>
        <w:spacing w:after="150"/>
      </w:pPr>
      <w:r>
        <w:rPr>
          <w:i/>
          <w:iCs/>
          <w:color w:val="595959"/>
          <w:sz w:val="18"/>
          <w:szCs w:val="18"/>
        </w:rPr>
        <w:t xml:space="preserve">Sources: SpaceLivings/BusinessesEstate (GHMC merger, Q1 2026 Hyderabad sales and pricing); NxtFootstep (Prestige Pallavaram Gardens, Chennai).</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GHMC's dramatic expansion — from its current footprint to encompassing 27 additional ORR-abutting municipalities — is expected to unlock a wave of new commercial and mixed-use development opportunities across Hyderabad's expanded metropolitan boundary.</w:t>
      </w:r>
    </w:p>
    <w:p>
      <w:pPr>
        <w:pStyle w:val="ListParagraph"/>
        <w:numPr>
          <w:ilvl w:val="0"/>
          <w:numId w:val="2"/>
        </w:numPr>
        <w:spacing w:after="80"/>
      </w:pPr>
      <w:r>
        <w:rPr>
          <w:b w:val="false"/>
          <w:bCs w:val="false"/>
        </w:rPr>
        <w:t xml:space="preserve">HYDRAA continues its strict enforcement checks on building legality across the Telangana Core Urban Region, prioritising protection of lakes and government-owned open spaces even as GHMC's jurisdiction expands.</w:t>
      </w:r>
    </w:p>
    <w:p>
      <w:pPr>
        <w:pStyle w:val="ListParagraph"/>
        <w:numPr>
          <w:ilvl w:val="0"/>
          <w:numId w:val="2"/>
        </w:numPr>
        <w:spacing w:after="80"/>
      </w:pPr>
      <w:r>
        <w:rPr>
          <w:b w:val="false"/>
          <w:bCs w:val="false"/>
        </w:rPr>
        <w:t xml:space="preserve">Prestige Estates' continued Chennai expansion — including Pallavaram Gardens (₹3,350 crore GDV) and the upcoming Palm Court launch — reinforces the city's growing weight in the developer's broader South India pipeline.</w:t>
      </w:r>
    </w:p>
    <w:p>
      <w:pPr>
        <w:spacing w:after="150"/>
      </w:pPr>
      <w:r>
        <w:rPr>
          <w:i/>
          <w:iCs/>
          <w:color w:val="595959"/>
          <w:sz w:val="18"/>
          <w:szCs w:val="18"/>
        </w:rPr>
        <w:t xml:space="preserve">Sources: SpaceLivings; Wikipedia/HYDRAA overview; NxtFootstep; Aparna Decors.</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GHMC's tripling in size via the 27-municipality merger will require significant coordination between TG-RERA, HYDRAA and the expanded civic body to extend consistent registration and compliance oversight across the newly-added ORR-abutting areas.</w:t>
      </w:r>
    </w:p>
    <w:p>
      <w:pPr>
        <w:pStyle w:val="ListParagraph"/>
        <w:numPr>
          <w:ilvl w:val="0"/>
          <w:numId w:val="2"/>
        </w:numPr>
        <w:spacing w:after="80"/>
      </w:pPr>
      <w:r>
        <w:rPr>
          <w:b w:val="false"/>
          <w:bCs w:val="false"/>
        </w:rPr>
        <w:t xml:space="preserve">CREDAI Telangana is expected to closely track how this administrative consolidation affects project approval timelines and building-plan clearances across Hyderabad's newly expanded jurisdiction.</w:t>
      </w:r>
    </w:p>
    <w:p>
      <w:pPr>
        <w:pStyle w:val="ListParagraph"/>
        <w:numPr>
          <w:ilvl w:val="0"/>
          <w:numId w:val="2"/>
        </w:numPr>
        <w:spacing w:after="80"/>
      </w:pPr>
      <w:r>
        <w:rPr>
          <w:b w:val="false"/>
          <w:bCs w:val="false"/>
        </w:rPr>
        <w:t xml:space="preserve">Prestige Estates' large-scale Chennai launches (Pallavaram Gardens' ₹3,350 crore GDV) add to Tamil Nadu CREDAI's registration pipeline even as the state continues absorbing last month's Coimbatore-Madurai corridor momentum.</w:t>
      </w:r>
    </w:p>
    <w:p>
      <w:pPr>
        <w:spacing w:after="150"/>
      </w:pPr>
      <w:r>
        <w:rPr>
          <w:i/>
          <w:iCs/>
          <w:color w:val="595959"/>
          <w:sz w:val="18"/>
          <w:szCs w:val="18"/>
        </w:rPr>
        <w:t xml:space="preserve">Sources: SpaceLivings; NxtFootstep.</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India now counts five listed REITs — including the newly added Knowledge Realty Trust — with a combined market capitalisation exceeding ₹1.7 lakh crore as of May 2026, reflecting continued institutionalisation of the country's real estate capital markets.</w:t>
      </w:r>
    </w:p>
    <w:p>
      <w:pPr>
        <w:pStyle w:val="ListParagraph"/>
        <w:numPr>
          <w:ilvl w:val="0"/>
          <w:numId w:val="2"/>
        </w:numPr>
        <w:spacing w:after="80"/>
      </w:pPr>
      <w:r>
        <w:rPr>
          <w:b w:val="false"/>
          <w:bCs w:val="false"/>
        </w:rPr>
        <w:t xml:space="preserve">India's real estate market is valued at approximately USD 585 billion in 2026 and is projected to reach USD 926 billion by 2031, a 9.63% CAGR, with home prices across major cities forecast to rise around 7% this year.</w:t>
      </w:r>
    </w:p>
    <w:p>
      <w:pPr>
        <w:pStyle w:val="ListParagraph"/>
        <w:numPr>
          <w:ilvl w:val="0"/>
          <w:numId w:val="2"/>
        </w:numPr>
        <w:spacing w:after="80"/>
      </w:pPr>
      <w:r>
        <w:rPr>
          <w:b w:val="false"/>
          <w:bCs w:val="false"/>
        </w:rPr>
        <w:t xml:space="preserve">Prestige Estates' aggressive September 2026 launch pipeline and DLF's continued market leadership (₹2.14 lakh crore market cap) both illustrate sustained confidence among India's top listed developers even amid a softer Q1 FY27 sales season nationally.</w:t>
      </w:r>
    </w:p>
    <w:p>
      <w:pPr>
        <w:spacing w:after="150"/>
      </w:pPr>
      <w:r>
        <w:rPr>
          <w:i/>
          <w:iCs/>
          <w:color w:val="595959"/>
          <w:sz w:val="18"/>
          <w:szCs w:val="18"/>
        </w:rPr>
        <w:t xml:space="preserve">Sources: INDmoney (India REIT list, combined market cap); Wright Research/Appreciate Wealth (India real estate market size, price forecast).</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The BSE has launched a dedicated REITs Index tracking 12 listed real estate investment trust stocks, marking a milestone in formally benchmarking India's growing REIT segment within mainstream equity markets.</w:t>
      </w:r>
    </w:p>
    <w:p>
      <w:pPr>
        <w:pStyle w:val="ListParagraph"/>
        <w:numPr>
          <w:ilvl w:val="0"/>
          <w:numId w:val="2"/>
        </w:numPr>
        <w:spacing w:after="80"/>
      </w:pPr>
      <w:r>
        <w:rPr>
          <w:b w:val="false"/>
          <w:bCs w:val="false"/>
        </w:rPr>
        <w:t xml:space="preserve">DLF remains India's largest listed developer by market capitalisation, followed by Godrej Properties, Oberoi Realty, Prestige Estates, Phoenix Mills, Sobha and Brigade Enterprises — together representing the backbone of India's institutional-grade listed real estate sector.</w:t>
      </w:r>
    </w:p>
    <w:p>
      <w:pPr>
        <w:pStyle w:val="ListParagraph"/>
        <w:numPr>
          <w:ilvl w:val="0"/>
          <w:numId w:val="2"/>
        </w:numPr>
        <w:spacing w:after="80"/>
      </w:pPr>
      <w:r>
        <w:rPr>
          <w:b w:val="false"/>
          <w:bCs w:val="false"/>
        </w:rPr>
        <w:t xml:space="preserve">GHMC's dramatic Hyderabad expansion and Prestige Estates' continued multi-city land acquisitions both point to sustained institutional and civic-infrastructure investment supporting India's real estate growth story into FY27.</w:t>
      </w:r>
    </w:p>
    <w:p>
      <w:pPr>
        <w:spacing w:after="150"/>
      </w:pPr>
      <w:r>
        <w:rPr>
          <w:i/>
          <w:iCs/>
          <w:color w:val="595959"/>
          <w:sz w:val="18"/>
          <w:szCs w:val="18"/>
        </w:rPr>
        <w:t xml:space="preserve">Sources: NiftyTrader (BSE REITs Index launch); Wright Research (top listed developers); SpaceLivings; RealtyPromoo.</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The growing REIT ecosystem — now five listed trusts and a dedicated BSE index — is prompting SEBI and state RERAs to continue aligning disclosure standards between securities markets and real estate project registration nationally.</w:t>
      </w:r>
    </w:p>
    <w:p>
      <w:pPr>
        <w:pStyle w:val="ListParagraph"/>
        <w:numPr>
          <w:ilvl w:val="0"/>
          <w:numId w:val="2"/>
        </w:numPr>
        <w:spacing w:after="80"/>
      </w:pPr>
      <w:r>
        <w:rPr>
          <w:b w:val="false"/>
          <w:bCs w:val="false"/>
        </w:rPr>
        <w:t xml:space="preserve">GHMC's administrative consolidation in Hyderabad offers a template that other rapidly-urbanising Indian metros may study for future civic-body expansion and unified real estate governance across peripheral growth corridors.</w:t>
      </w:r>
    </w:p>
    <w:p>
      <w:pPr>
        <w:pStyle w:val="ListParagraph"/>
        <w:numPr>
          <w:ilvl w:val="0"/>
          <w:numId w:val="2"/>
        </w:numPr>
        <w:spacing w:after="80"/>
      </w:pPr>
      <w:r>
        <w:rPr>
          <w:b w:val="false"/>
          <w:bCs w:val="false"/>
        </w:rPr>
        <w:t xml:space="preserve">CREDAI and NAREDCO continue tracking major developers' aggressive FY26-27 launch targets (Prestige's ~₹60,000 crore) as key indicators of broader sector confidence heading into the festive season.</w:t>
      </w:r>
    </w:p>
    <w:p>
      <w:pPr>
        <w:spacing w:after="150"/>
      </w:pPr>
      <w:r>
        <w:rPr>
          <w:i/>
          <w:iCs/>
          <w:color w:val="595959"/>
          <w:sz w:val="18"/>
          <w:szCs w:val="18"/>
        </w:rPr>
        <w:t xml:space="preserve">Sources: NiftyTrader; SpaceLivings; Multibagg.ai.</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2026-09-09T03:40:22.270Z</dcterms:created>
  <dcterms:modified xsi:type="dcterms:W3CDTF">2026-09-09T03:40:22.285Z</dcterms:modified>
</cp:coreProperties>
</file>

<file path=docProps/custom.xml><?xml version="1.0" encoding="utf-8"?>
<Properties xmlns="http://schemas.openxmlformats.org/officeDocument/2006/custom-properties" xmlns:vt="http://schemas.openxmlformats.org/officeDocument/2006/docPropsVTypes"/>
</file>