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25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tech economy continues to anchor luxury housing demand, with liquidity events — startup exits, IPOs, NRI capital repatriation — increasingly translating into end-use purchases rather than speculative investment.</w:t>
      </w:r>
    </w:p>
    <w:p>
      <w:pPr>
        <w:pStyle w:val="ListParagraph"/>
        <w:numPr>
          <w:ilvl w:val="0"/>
          <w:numId w:val="2"/>
        </w:numPr>
        <w:spacing w:after="80"/>
      </w:pPr>
      <w:r>
        <w:rPr>
          <w:b w:val="false"/>
          <w:bCs w:val="false"/>
        </w:rPr>
        <w:t xml:space="preserve">Low-density living is gaining ground in Bengaluru's luxury segment, with villas, thoughtfully planned communities and plotted developments seeing rising buyer interest.</w:t>
      </w:r>
    </w:p>
    <w:p>
      <w:pPr>
        <w:pStyle w:val="ListParagraph"/>
        <w:numPr>
          <w:ilvl w:val="0"/>
          <w:numId w:val="2"/>
        </w:numPr>
        <w:spacing w:after="80"/>
      </w:pPr>
      <w:r>
        <w:rPr>
          <w:b w:val="false"/>
          <w:bCs w:val="false"/>
        </w:rPr>
        <w:t xml:space="preserve">Bengaluru is the most preferred city for NRI real estate investment (29% of NRI buyers), ahead of Mumbai (24%); ultra-luxury villas priced ₹6–10 crore are especially popular among NRIs, notably those based in the US.</w:t>
      </w:r>
    </w:p>
    <w:p>
      <w:pPr>
        <w:pStyle w:val="ListParagraph"/>
        <w:numPr>
          <w:ilvl w:val="0"/>
          <w:numId w:val="2"/>
        </w:numPr>
        <w:spacing w:after="80"/>
      </w:pPr>
      <w:r>
        <w:rPr>
          <w:b w:val="false"/>
          <w:bCs w:val="false"/>
        </w:rPr>
        <w:t xml:space="preserve">Devanahalli, Hebbal and International Airport Road have become synonymous with premium housing, commanding ₹9,000–13,000/sq ft with many properties crossing ₹2 crore; rental yields in North Bengaluru's gated communities hover around 4.1–4.8%.</w:t>
      </w:r>
    </w:p>
    <w:p>
      <w:pPr>
        <w:spacing w:after="150"/>
      </w:pPr>
      <w:r>
        <w:rPr>
          <w:i/>
          <w:iCs/>
          <w:color w:val="595959"/>
          <w:sz w:val="18"/>
          <w:szCs w:val="18"/>
        </w:rPr>
        <w:t xml:space="preserve">Sources: ConstructionWeekOnline; NewsFirst Prime; Gulf News.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property market is increasingly splitting between luxury-led demand in the North and IT-driven housing demand in the East, reflecting the city's bifurcated growth pattern between wealth corridors and employment corridors.</w:t>
      </w:r>
    </w:p>
    <w:p>
      <w:pPr>
        <w:pStyle w:val="ListParagraph"/>
        <w:numPr>
          <w:ilvl w:val="0"/>
          <w:numId w:val="2"/>
        </w:numPr>
        <w:spacing w:after="80"/>
      </w:pPr>
      <w:r>
        <w:rPr>
          <w:b w:val="false"/>
          <w:bCs w:val="false"/>
        </w:rPr>
        <w:t xml:space="preserve">GCCs continued to anchor Bengaluru's office leasing story in H1 2026, part of a national trend where GCCs leased 19.2 million sq ft (45% of gross office leasing) across India's top 7 cities.</w:t>
      </w:r>
    </w:p>
    <w:p>
      <w:pPr>
        <w:pStyle w:val="ListParagraph"/>
        <w:numPr>
          <w:ilvl w:val="0"/>
          <w:numId w:val="2"/>
        </w:numPr>
        <w:spacing w:after="80"/>
      </w:pPr>
      <w:r>
        <w:rPr>
          <w:b w:val="false"/>
          <w:bCs w:val="false"/>
        </w:rPr>
        <w:t xml:space="preserve">Developers including Sobha continue actively marketing Bengaluru projects to NRI buyers, citing the city's mix of luxury apartments and gated villa communities as key draws for 2026.</w:t>
      </w:r>
    </w:p>
    <w:p>
      <w:pPr>
        <w:spacing w:after="150"/>
      </w:pPr>
      <w:r>
        <w:rPr>
          <w:i/>
          <w:iCs/>
          <w:color w:val="595959"/>
          <w:sz w:val="18"/>
          <w:szCs w:val="18"/>
        </w:rPr>
        <w:t xml:space="preserve">Sources: NewsFirst Prime; Newkerala/ANAROCK; Sobha.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Bangalore Development Authority convened a meeting on the NPKL layout following K-RERA directions, after allottees petitioned the regulator over long-standing delays in completing essential layout infrastructure.</w:t>
      </w:r>
    </w:p>
    <w:p>
      <w:pPr>
        <w:pStyle w:val="ListParagraph"/>
        <w:numPr>
          <w:ilvl w:val="0"/>
          <w:numId w:val="2"/>
        </w:numPr>
        <w:spacing w:after="80"/>
      </w:pPr>
      <w:r>
        <w:rPr>
          <w:b w:val="false"/>
          <w:bCs w:val="false"/>
        </w:rPr>
        <w:t xml:space="preserve">K-RERA's April 2026 order directing a Bengaluru developer to hand over a delayed villa and pay ~₹70 lakh in interest continues to be cited as a benchmark ruling on developer accountability for project delays.</w:t>
      </w:r>
    </w:p>
    <w:p>
      <w:pPr>
        <w:pStyle w:val="ListParagraph"/>
        <w:numPr>
          <w:ilvl w:val="0"/>
          <w:numId w:val="2"/>
        </w:numPr>
        <w:spacing w:after="80"/>
      </w:pPr>
      <w:r>
        <w:rPr>
          <w:b w:val="false"/>
          <w:bCs w:val="false"/>
        </w:rPr>
        <w:t xml:space="preserve">99acres' Karnataka RERA tracker continues to monitor newly registered projects across the state, reflecting steady developer compliance with registration norms even as enforcement of buyer-relief orders remains uneven.</w:t>
      </w:r>
    </w:p>
    <w:p>
      <w:pPr>
        <w:spacing w:after="150"/>
      </w:pPr>
      <w:r>
        <w:rPr>
          <w:i/>
          <w:iCs/>
          <w:color w:val="595959"/>
          <w:sz w:val="18"/>
          <w:szCs w:val="18"/>
        </w:rPr>
        <w:t xml:space="preserve">Sources: Deccan Herald; 99acres; RERAScore.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recorded its strongest-ever first-half office leasing performance in H1 2026 at 7.5 million sq ft (+29% YoY), a sign of broader economic momentum also feeding into the city's residential demand.</w:t>
      </w:r>
    </w:p>
    <w:p>
      <w:pPr>
        <w:pStyle w:val="ListParagraph"/>
        <w:numPr>
          <w:ilvl w:val="0"/>
          <w:numId w:val="2"/>
        </w:numPr>
        <w:spacing w:after="80"/>
      </w:pPr>
      <w:r>
        <w:rPr>
          <w:b w:val="false"/>
          <w:bCs w:val="false"/>
        </w:rPr>
        <w:t xml:space="preserve">Kerala's real estate sector faced a setback as the state's crime branch moved to confiscate property from builders under investigation — a reminder of ongoing consumer-protection enforcement risk in the state's housing market.</w:t>
      </w:r>
    </w:p>
    <w:p>
      <w:pPr>
        <w:pStyle w:val="ListParagraph"/>
        <w:numPr>
          <w:ilvl w:val="0"/>
          <w:numId w:val="2"/>
        </w:numPr>
        <w:spacing w:after="80"/>
      </w:pPr>
      <w:r>
        <w:rPr>
          <w:b w:val="false"/>
          <w:bCs w:val="false"/>
        </w:rPr>
        <w:t xml:space="preserve">Pune recorded 44,265 housing units sold in H1 2026, the highest of any Indian metro — underscoring how South Indian cities like Bengaluru, Chennai and Hyderabad are competing against a broader set of high-growth markets nationally.</w:t>
      </w:r>
    </w:p>
    <w:p>
      <w:pPr>
        <w:spacing w:after="150"/>
      </w:pPr>
      <w:r>
        <w:rPr>
          <w:i/>
          <w:iCs/>
          <w:color w:val="595959"/>
          <w:sz w:val="18"/>
          <w:szCs w:val="18"/>
        </w:rPr>
        <w:t xml:space="preserve">Sources: Hyderabad Mail; Gulf News; CRE Matrix/CREDAI Pune.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accounted for 55% of Chennai's 3.2 million sq ft office absorption in H1 2026, reinforcing the city's position as a top-tier GCC hub alongside its manufacturing base.</w:t>
      </w:r>
    </w:p>
    <w:p>
      <w:pPr>
        <w:pStyle w:val="ListParagraph"/>
        <w:numPr>
          <w:ilvl w:val="0"/>
          <w:numId w:val="2"/>
        </w:numPr>
        <w:spacing w:after="80"/>
      </w:pPr>
      <w:r>
        <w:rPr>
          <w:b w:val="false"/>
          <w:bCs w:val="false"/>
        </w:rPr>
        <w:t xml:space="preserve">Hyderabad's GCCs leased 3.4 million sq ft in H1 2026 (45% of total absorption), with average office rentals rising 7% YoY to ~₹80/sq ft/month.</w:t>
      </w:r>
    </w:p>
    <w:p>
      <w:pPr>
        <w:pStyle w:val="ListParagraph"/>
        <w:numPr>
          <w:ilvl w:val="0"/>
          <w:numId w:val="2"/>
        </w:numPr>
        <w:spacing w:after="80"/>
      </w:pPr>
      <w:r>
        <w:rPr>
          <w:b w:val="false"/>
          <w:bCs w:val="false"/>
        </w:rPr>
        <w:t xml:space="preserve">MNCs are increasingly expanding India-based GCCs across Chennai and Hyderabad to house core functions — engineering, R&amp;D, AI, finance, cybersecurity and digital operations — deepening South India's role in India's GCC growth story.</w:t>
      </w:r>
    </w:p>
    <w:p>
      <w:pPr>
        <w:spacing w:after="150"/>
      </w:pPr>
      <w:r>
        <w:rPr>
          <w:i/>
          <w:iCs/>
          <w:color w:val="595959"/>
          <w:sz w:val="18"/>
          <w:szCs w:val="18"/>
        </w:rPr>
        <w:t xml:space="preserve">Sources: Deccan Chronicle; BizzBuzz; Storyboard18/ANAROCK.</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Kerala's crime branch has moved to confiscate the property of builders under investigation, signalling intensified state-level enforcement action against non-compliant developers in the state.</w:t>
      </w:r>
    </w:p>
    <w:p>
      <w:pPr>
        <w:pStyle w:val="ListParagraph"/>
        <w:numPr>
          <w:ilvl w:val="0"/>
          <w:numId w:val="2"/>
        </w:numPr>
        <w:spacing w:after="80"/>
      </w:pPr>
      <w:r>
        <w:rPr>
          <w:b w:val="false"/>
          <w:bCs w:val="false"/>
        </w:rPr>
        <w:t xml:space="preserve">CREDAI Chennai continues to maintain an active professional and policy-engagement presence, per its official channels, as Tamil Nadu's real estate sector navigates continuing regulatory scrutiny.</w:t>
      </w:r>
    </w:p>
    <w:p>
      <w:pPr>
        <w:pStyle w:val="ListParagraph"/>
        <w:numPr>
          <w:ilvl w:val="0"/>
          <w:numId w:val="2"/>
        </w:numPr>
        <w:spacing w:after="80"/>
      </w:pPr>
      <w:r>
        <w:rPr>
          <w:b w:val="false"/>
          <w:bCs w:val="false"/>
        </w:rPr>
        <w:t xml:space="preserve">CREDAI's national leadership has reiterated that RERA procedural reforms — including dedicated workshops to close state-level implementation gaps — remain a priority, a theme directly relevant to South India's RERA authorities.</w:t>
      </w:r>
    </w:p>
    <w:p>
      <w:pPr>
        <w:spacing w:after="150"/>
      </w:pPr>
      <w:r>
        <w:rPr>
          <w:i/>
          <w:iCs/>
          <w:color w:val="595959"/>
          <w:sz w:val="18"/>
          <w:szCs w:val="18"/>
        </w:rPr>
        <w:t xml:space="preserve">Sources: Gulf News; CREDAI Chennai (LinkedIn); CREDAI (credai.org).</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Pune recorded 44,265 housing units sold in H1 2026, the highest of any Indian metro city, per the CREDAI Pune/CRE Matrix Housing Report — a notable data point in a year of otherwise selective, demand-led national housing activity.</w:t>
      </w:r>
    </w:p>
    <w:p>
      <w:pPr>
        <w:pStyle w:val="ListParagraph"/>
        <w:numPr>
          <w:ilvl w:val="0"/>
          <w:numId w:val="2"/>
        </w:numPr>
        <w:spacing w:after="80"/>
      </w:pPr>
      <w:r>
        <w:rPr>
          <w:b w:val="false"/>
          <w:bCs w:val="false"/>
        </w:rPr>
        <w:t xml:space="preserve">India's GCC-driven office leasing boom (19.2 million sq ft, 45% of H1 2026 gross leasing) continues to have knock-on effects on residential demand in GCC-heavy cities including Bengaluru and Hyderabad.</w:t>
      </w:r>
    </w:p>
    <w:p>
      <w:pPr>
        <w:pStyle w:val="ListParagraph"/>
        <w:numPr>
          <w:ilvl w:val="0"/>
          <w:numId w:val="2"/>
        </w:numPr>
        <w:spacing w:after="80"/>
      </w:pPr>
      <w:r>
        <w:rPr>
          <w:b w:val="false"/>
          <w:bCs w:val="false"/>
        </w:rPr>
        <w:t xml:space="preserve">NRI investment continues to be a structural tailwind for India's luxury housing market, with Bengaluru and Mumbai remaining the top two preferred cities for NRI buyers nationally.</w:t>
      </w:r>
    </w:p>
    <w:p>
      <w:pPr>
        <w:spacing w:after="150"/>
      </w:pPr>
      <w:r>
        <w:rPr>
          <w:i/>
          <w:iCs/>
          <w:color w:val="595959"/>
          <w:sz w:val="18"/>
          <w:szCs w:val="18"/>
        </w:rPr>
        <w:t xml:space="preserve">Sources: CRE Matrix/CREDAI Pune; Newkerala/ANAROCK; ConstructionWeekOnline.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leased a record 19.2 million sq ft in H1 2026, accounting for 45% of India's gross office leasing across the top 7 cities, as MNCs continue expanding India-based GCCs for engineering, R&amp;D, AI, finance, cybersecurity and digital operations.</w:t>
      </w:r>
    </w:p>
    <w:p>
      <w:pPr>
        <w:pStyle w:val="ListParagraph"/>
        <w:numPr>
          <w:ilvl w:val="0"/>
          <w:numId w:val="2"/>
        </w:numPr>
        <w:spacing w:after="80"/>
      </w:pPr>
      <w:r>
        <w:rPr>
          <w:b w:val="false"/>
          <w:bCs w:val="false"/>
        </w:rPr>
        <w:t xml:space="preserve">Hyderabad posted a record H1 office leasing performance of 7.5 million sq ft (+29% YoY); Chennai's GCC-led absorption reached 55% of its 3.2 million sq ft quarterly total — reinforcing GCCs as the single largest driver of India's office market nationally.</w:t>
      </w:r>
    </w:p>
    <w:p>
      <w:pPr>
        <w:pStyle w:val="ListParagraph"/>
        <w:numPr>
          <w:ilvl w:val="0"/>
          <w:numId w:val="2"/>
        </w:numPr>
        <w:spacing w:after="80"/>
      </w:pPr>
      <w:r>
        <w:rPr>
          <w:b w:val="false"/>
          <w:bCs w:val="false"/>
        </w:rPr>
        <w:t xml:space="preserve">Office rentals continue to rise moderately across major GCC hubs (e.g., Hyderabad +7% YoY to ~₹80/sq ft/month), reflecting sustained demand even as supply expands to meet it.</w:t>
      </w:r>
    </w:p>
    <w:p>
      <w:pPr>
        <w:spacing w:after="150"/>
      </w:pPr>
      <w:r>
        <w:rPr>
          <w:i/>
          <w:iCs/>
          <w:color w:val="595959"/>
          <w:sz w:val="18"/>
          <w:szCs w:val="18"/>
        </w:rPr>
        <w:t xml:space="preserve">Sources: Newkerala/ANAROCK; Deccan Chronicle; BizzBuzz.</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Union Budget 2026-27 submission calls for redefining affordable housing based on carpet area rather than price, raising the affordable-housing cap from ₹45 lakh to ₹90 lakh, and overhauling the outdated home-loan-interest tax deduction limit.</w:t>
      </w:r>
    </w:p>
    <w:p>
      <w:pPr>
        <w:pStyle w:val="ListParagraph"/>
        <w:numPr>
          <w:ilvl w:val="0"/>
          <w:numId w:val="2"/>
        </w:numPr>
        <w:spacing w:after="80"/>
      </w:pPr>
      <w:r>
        <w:rPr>
          <w:b w:val="false"/>
          <w:bCs w:val="false"/>
        </w:rPr>
        <w:t xml:space="preserve">CREDAI has proposed a Credit Guarantee Scheme to expand formal credit access, alongside a National Rental Housing Mission to build large-scale affordable rental stock in Tier-1/2 cities via fiscal incentives for developers and tax relief for tenants.</w:t>
      </w:r>
    </w:p>
    <w:p>
      <w:pPr>
        <w:pStyle w:val="ListParagraph"/>
        <w:numPr>
          <w:ilvl w:val="0"/>
          <w:numId w:val="2"/>
        </w:numPr>
        <w:spacing w:after="80"/>
      </w:pPr>
      <w:r>
        <w:rPr>
          <w:b w:val="false"/>
          <w:bCs w:val="false"/>
        </w:rPr>
        <w:t xml:space="preserve">These reforms aim to close the gap between housing policy definitions frozen since 2017 and today's construction economics, including sharply higher land costs and input prices.</w:t>
      </w:r>
    </w:p>
    <w:p>
      <w:pPr>
        <w:spacing w:after="150"/>
      </w:pPr>
      <w:r>
        <w:rPr>
          <w:i/>
          <w:iCs/>
          <w:color w:val="595959"/>
          <w:sz w:val="18"/>
          <w:szCs w:val="18"/>
        </w:rPr>
        <w:t xml:space="preserve">Sources: Newkerala; SKJ Landbase; CREDAI (credai.org).</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2026-07-25T03:40:04.877Z</dcterms:created>
  <dcterms:modified xsi:type="dcterms:W3CDTF">2026-07-25T03:40:04.893Z</dcterms:modified>
</cp:coreProperties>
</file>

<file path=docProps/custom.xml><?xml version="1.0" encoding="utf-8"?>
<Properties xmlns="http://schemas.openxmlformats.org/officeDocument/2006/custom-properties" xmlns:vt="http://schemas.openxmlformats.org/officeDocument/2006/docPropsVTypes"/>
</file>