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25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Jayanagar's average flat prices have reached ₹20,954 per sq ft per NoBroker-verified July 2026 listings, with older buildings offering 600–750 sq ft apartments at ₹13,000–18,000 per sq ft; land rates in the locality now range ₹30,000–44,400 per sq ft.</w:t>
      </w:r>
    </w:p>
    <w:p>
      <w:pPr>
        <w:pStyle w:val="ListParagraph"/>
        <w:numPr>
          <w:ilvl w:val="0"/>
          <w:numId w:val="2"/>
        </w:numPr>
        <w:spacing w:after="80"/>
      </w:pPr>
      <w:r>
        <w:rPr>
          <w:b w:val="false"/>
          <w:bCs w:val="false"/>
        </w:rPr>
        <w:t xml:space="preserve">Basavanagudi continues to attract both end-users and investors seeking long-term value and lifestyle stability, with its Gandhi Bazaar micro-market's government guidance value recently hiked from ₹8,000 to ₹9,200 per sq ft.</w:t>
      </w:r>
    </w:p>
    <w:p>
      <w:pPr>
        <w:pStyle w:val="ListParagraph"/>
        <w:numPr>
          <w:ilvl w:val="0"/>
          <w:numId w:val="2"/>
        </w:numPr>
        <w:spacing w:after="80"/>
      </w:pPr>
      <w:r>
        <w:rPr>
          <w:b w:val="false"/>
          <w:bCs w:val="false"/>
        </w:rPr>
        <w:t xml:space="preserve">Inner South Bengaluru (Jayanagar, Basavanagudi, Koramangala) continues to behave like a mature, low-supply market — prices remain high but stable, and correctly priced resale listings move quickly.</w:t>
      </w:r>
    </w:p>
    <w:p>
      <w:pPr>
        <w:spacing w:after="150"/>
      </w:pPr>
      <w:r>
        <w:rPr>
          <w:i/>
          <w:iCs/>
          <w:color w:val="595959"/>
          <w:sz w:val="18"/>
          <w:szCs w:val="18"/>
        </w:rPr>
        <w:t xml:space="preserve">Sources: 99acres/NoBroker (Jayanagar pricing); Deccan Herald/Bhadra Group (Basavanagudi guidance value, market positioning); PropNewz (Inner South Bengaluru market character).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Karnataka's proposed statewide 10–15% guidance value hike, originally targeted for 1 April 2026, remains unnotified as of the latest update, even as a separate localised 6–15% Bengaluru-urban revision took effect in February 2026.</w:t>
      </w:r>
    </w:p>
    <w:p>
      <w:pPr>
        <w:pStyle w:val="ListParagraph"/>
        <w:numPr>
          <w:ilvl w:val="0"/>
          <w:numId w:val="2"/>
        </w:numPr>
        <w:spacing w:after="80"/>
      </w:pPr>
      <w:r>
        <w:rPr>
          <w:b w:val="false"/>
          <w:bCs w:val="false"/>
        </w:rPr>
        <w:t xml:space="preserve">The February 2026 mid-revision pushed North Bengaluru corridors — Devanahalli, Yelahanka and Hebbal — up 12–15%, directly impacting registration costs for commercial and residential transactions in those corridors.</w:t>
      </w:r>
    </w:p>
    <w:p>
      <w:pPr>
        <w:pStyle w:val="ListParagraph"/>
        <w:numPr>
          <w:ilvl w:val="0"/>
          <w:numId w:val="2"/>
        </w:numPr>
        <w:spacing w:after="80"/>
      </w:pPr>
      <w:r>
        <w:rPr>
          <w:b w:val="false"/>
          <w:bCs w:val="false"/>
        </w:rPr>
        <w:t xml:space="preserve">Rising guidance values across both Inner South and North Bengaluru are expected to gradually push up total transaction costs for commercial and mixed-use projects as the formal statewide notification approaches.</w:t>
      </w:r>
    </w:p>
    <w:p>
      <w:pPr>
        <w:spacing w:after="150"/>
      </w:pPr>
      <w:r>
        <w:rPr>
          <w:i/>
          <w:iCs/>
          <w:color w:val="595959"/>
          <w:sz w:val="18"/>
          <w:szCs w:val="18"/>
        </w:rPr>
        <w:t xml:space="preserve">Sources: PropNewz (guidance value hike status, February 2026 revision); Beegru (registration cost impact).</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Total property transaction costs in Bengaluru now stand at roughly 7.5–7.6% of value for properties above ₹45 lakh, following the registration fee's doubling to 2% (effective 31 August 2025) stacked on the existing 5% stamp duty slab.</w:t>
      </w:r>
    </w:p>
    <w:p>
      <w:pPr>
        <w:pStyle w:val="ListParagraph"/>
        <w:numPr>
          <w:ilvl w:val="0"/>
          <w:numId w:val="2"/>
        </w:numPr>
        <w:spacing w:after="80"/>
      </w:pPr>
      <w:r>
        <w:rPr>
          <w:b w:val="false"/>
          <w:bCs w:val="false"/>
        </w:rPr>
        <w:t xml:space="preserve">CREDAI Karnataka continues to monitor the pending statewide guidance-value notification closely, given its potential to further raise transaction costs across both established (Jayanagar, Basavanagudi) and emerging corridors.</w:t>
      </w:r>
    </w:p>
    <w:p>
      <w:pPr>
        <w:pStyle w:val="ListParagraph"/>
        <w:numPr>
          <w:ilvl w:val="0"/>
          <w:numId w:val="2"/>
        </w:numPr>
        <w:spacing w:after="80"/>
      </w:pPr>
      <w:r>
        <w:rPr>
          <w:b w:val="false"/>
          <w:bCs w:val="false"/>
        </w:rPr>
        <w:t xml:space="preserve">K-RERA continues to operate with a partially reconstituted bench following N Jayaram's appointment as Member, even as the chairman post remains vacant since H.C. Kishore Chandra's retirement.</w:t>
      </w:r>
    </w:p>
    <w:p>
      <w:pPr>
        <w:spacing w:after="150"/>
      </w:pPr>
      <w:r>
        <w:rPr>
          <w:i/>
          <w:iCs/>
          <w:color w:val="595959"/>
          <w:sz w:val="18"/>
          <w:szCs w:val="18"/>
        </w:rPr>
        <w:t xml:space="preserve">Sources: Beegru (registration cost breakdown); PropNewz; Deccan Herald (K-RERA bench composition).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apartment sales rose 27% YoY to 8,587 units in H1 2026, with average housing prices up 13% over the same period — the city's second-highest sales growth among India's seven major housing markets, per JLL.</w:t>
      </w:r>
    </w:p>
    <w:p>
      <w:pPr>
        <w:pStyle w:val="ListParagraph"/>
        <w:numPr>
          <w:ilvl w:val="0"/>
          <w:numId w:val="2"/>
        </w:numPr>
        <w:spacing w:after="80"/>
      </w:pPr>
      <w:r>
        <w:rPr>
          <w:b w:val="false"/>
          <w:bCs w:val="false"/>
        </w:rPr>
        <w:t xml:space="preserve">Hyderabad sold 13,196 homes in the April-June 2026 quarter, up 15% YoY, even as HYDRAA's resumed demolition drive and Section 22A restrictions have sharply curtailed daily registrations across the city and neighbouring districts.</w:t>
      </w:r>
    </w:p>
    <w:p>
      <w:pPr>
        <w:pStyle w:val="ListParagraph"/>
        <w:numPr>
          <w:ilvl w:val="0"/>
          <w:numId w:val="2"/>
        </w:numPr>
        <w:spacing w:after="80"/>
      </w:pPr>
      <w:r>
        <w:rPr>
          <w:b w:val="false"/>
          <w:bCs w:val="false"/>
        </w:rPr>
        <w:t xml:space="preserve">Property registrations across three Hyderabad-area districts combined have fallen to roughly 1,000 per day, down from several thousand daily just three months ago, as Section 22A bars sale, transfer or mortgage of specified lands and properties.</w:t>
      </w:r>
    </w:p>
    <w:p>
      <w:pPr>
        <w:spacing w:after="150"/>
      </w:pPr>
      <w:r>
        <w:rPr>
          <w:i/>
          <w:iCs/>
          <w:color w:val="595959"/>
          <w:sz w:val="18"/>
          <w:szCs w:val="18"/>
        </w:rPr>
        <w:t xml:space="preserve">Sources: NoBroker (Chennai H1 2026 sales); Gulte/PropTiger (Hyderabad Q2 2026 sales); Namasthe Telangana/Telangana Today (HYDRAA, Section 22A registration impact).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Several Hyderabad apartment complexes with valid GHMC/HMDA building permissions, occupancy certificates and property-tax receipts have reportedly been classified under Section 22A's prohibited category, raising builder and developer concerns over stalled transactions.</w:t>
      </w:r>
    </w:p>
    <w:p>
      <w:pPr>
        <w:pStyle w:val="ListParagraph"/>
        <w:numPr>
          <w:ilvl w:val="0"/>
          <w:numId w:val="2"/>
        </w:numPr>
        <w:spacing w:after="80"/>
      </w:pPr>
      <w:r>
        <w:rPr>
          <w:b w:val="false"/>
          <w:bCs w:val="false"/>
        </w:rPr>
        <w:t xml:space="preserve">The Telangana High Court has questioned HYDRAA's continued demolitions despite existing court orders, seeking personal appearance from officials — a sign of escalating judicial scrutiny of the enforcement drive.</w:t>
      </w:r>
    </w:p>
    <w:p>
      <w:pPr>
        <w:pStyle w:val="ListParagraph"/>
        <w:numPr>
          <w:ilvl w:val="0"/>
          <w:numId w:val="2"/>
        </w:numPr>
        <w:spacing w:after="80"/>
      </w:pPr>
      <w:r>
        <w:rPr>
          <w:b w:val="false"/>
          <w:bCs w:val="false"/>
        </w:rPr>
        <w:t xml:space="preserve">Industry members have warned that HYDRAA and Section 22A actions risk denting investor confidence, particularly among NRIs, even as the city's underlying residential sales growth remains strong.</w:t>
      </w:r>
    </w:p>
    <w:p>
      <w:pPr>
        <w:spacing w:after="150"/>
      </w:pPr>
      <w:r>
        <w:rPr>
          <w:i/>
          <w:iCs/>
          <w:color w:val="595959"/>
          <w:sz w:val="18"/>
          <w:szCs w:val="18"/>
        </w:rPr>
        <w:t xml:space="preserve">Sources: Telangana Chronicle (HYDRAA demolition drive); Telangana Today (Section 22A concerns); Munsif Daily (High Court scrutiny).</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Telangana's HYDRAA-Section 22A enforcement drive is creating a sharp contrast within the state's own real estate narrative — strong sales growth (+15% YoY) alongside a collapse in daily registrations — a tension CREDAI Telangana is likely to raise with the state government.</w:t>
      </w:r>
    </w:p>
    <w:p>
      <w:pPr>
        <w:pStyle w:val="ListParagraph"/>
        <w:numPr>
          <w:ilvl w:val="0"/>
          <w:numId w:val="2"/>
        </w:numPr>
        <w:spacing w:after="80"/>
      </w:pPr>
      <w:r>
        <w:rPr>
          <w:b w:val="false"/>
          <w:bCs w:val="false"/>
        </w:rPr>
        <w:t xml:space="preserve">South Indian CREDAI chapters continue to track Karnataka's pending guidance-value notification and K-RERA reconstitution as parallel regulatory developments shaping compliance costs across the region.</w:t>
      </w:r>
    </w:p>
    <w:p>
      <w:pPr>
        <w:spacing w:after="150"/>
      </w:pPr>
      <w:r>
        <w:rPr>
          <w:i/>
          <w:iCs/>
          <w:color w:val="595959"/>
          <w:sz w:val="18"/>
          <w:szCs w:val="18"/>
        </w:rPr>
        <w:t xml:space="preserve">Sources: Business Standard (MoHUA advisory); Namasthe Telangana/Telangana Today; PropNewz.</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GST Council's cement rate cut from 28% to 18%, effective since 22 September 2025, continues to benefit homebuyers nationally by an estimated ₹26–28 per bag, easing construction costs for residential projects.</w:t>
      </w:r>
    </w:p>
    <w:p>
      <w:pPr>
        <w:pStyle w:val="ListParagraph"/>
        <w:numPr>
          <w:ilvl w:val="0"/>
          <w:numId w:val="2"/>
        </w:numPr>
        <w:spacing w:after="80"/>
      </w:pPr>
      <w:r>
        <w:rPr>
          <w:b w:val="false"/>
          <w:bCs w:val="false"/>
        </w:rPr>
        <w:t xml:space="preserve">Cement volumes rose 8.5% in the first five months of FY26 on strong housing and infrastructure demand, even as average all-India cement prices climbed 7.4% YoY to ₹355–365 per bag in Q2 FY26.</w:t>
      </w:r>
    </w:p>
    <w:p>
      <w:pPr>
        <w:pStyle w:val="ListParagraph"/>
        <w:numPr>
          <w:ilvl w:val="0"/>
          <w:numId w:val="2"/>
        </w:numPr>
        <w:spacing w:after="80"/>
      </w:pPr>
      <w:r>
        <w:rPr>
          <w:b w:val="false"/>
          <w:bCs w:val="false"/>
        </w:rPr>
        <w:t xml:space="preserve">Telangana's HYDRAA-Section 22A enforcement actions are being watched nationally as a case study in how aggressive land-regularisation drives can disrupt registration volumes even in an otherwise strong-performing market.</w:t>
      </w:r>
    </w:p>
    <w:p>
      <w:pPr>
        <w:spacing w:after="150"/>
      </w:pPr>
      <w:r>
        <w:rPr>
          <w:i/>
          <w:iCs/>
          <w:color w:val="595959"/>
          <w:sz w:val="18"/>
          <w:szCs w:val="18"/>
        </w:rPr>
        <w:t xml:space="preserve">Sources: Bajaj Finserv/ClearTax (GST cement rate cut, volumes, pricing); Namasthe Telangana/Telangana Today.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Karnataka's pending statewide 10–15% guidance-value hike and Telangana's Section 22A-driven registration slowdown together illustrate how state-level land-value and compliance policies are increasingly shaping commercial and residential transaction volumes nationally.</w:t>
      </w:r>
    </w:p>
    <w:p>
      <w:pPr>
        <w:pStyle w:val="ListParagraph"/>
        <w:numPr>
          <w:ilvl w:val="0"/>
          <w:numId w:val="2"/>
        </w:numPr>
        <w:spacing w:after="80"/>
      </w:pPr>
      <w:r>
        <w:rPr>
          <w:b w:val="false"/>
          <w:bCs w:val="false"/>
        </w:rPr>
        <w:t xml:space="preserve">Lower cement GST (18%, down from 28%) continues to support construction-cost stability for commercial and industrial developers nationally, even as raw cement prices themselves have risen 7.4% YoY.</w:t>
      </w:r>
    </w:p>
    <w:p>
      <w:pPr>
        <w:pStyle w:val="ListParagraph"/>
        <w:numPr>
          <w:ilvl w:val="0"/>
          <w:numId w:val="2"/>
        </w:numPr>
        <w:spacing w:after="80"/>
      </w:pPr>
      <w:r>
        <w:rPr>
          <w:b w:val="false"/>
          <w:bCs w:val="false"/>
        </w:rPr>
        <w:t xml:space="preserve">Continued strong underlying demand in Hyderabad and Chennai, despite regulatory friction in Telangana, underscores the resilience of South India's commercial and residential growth story relative to the national market.</w:t>
      </w:r>
    </w:p>
    <w:p>
      <w:pPr>
        <w:spacing w:after="150"/>
      </w:pPr>
      <w:r>
        <w:rPr>
          <w:i/>
          <w:iCs/>
          <w:color w:val="595959"/>
          <w:sz w:val="18"/>
          <w:szCs w:val="18"/>
        </w:rPr>
        <w:t xml:space="preserve">Sources: Bajaj Finserv/ClearTax; PropNewz; Gulte/PropTiger.</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nationally.</w:t>
      </w:r>
    </w:p>
    <w:p>
      <w:pPr>
        <w:pStyle w:val="ListParagraph"/>
        <w:numPr>
          <w:ilvl w:val="0"/>
          <w:numId w:val="2"/>
        </w:numPr>
        <w:spacing w:after="80"/>
      </w:pPr>
      <w:r>
        <w:rPr>
          <w:b w:val="false"/>
          <w:bCs w:val="false"/>
        </w:rPr>
        <w:t xml:space="preserve">Telangana's HYDRAA-Section 22A enforcement drive and the Telangana High Court's scrutiny of it represent one of the most significant state-level real estate governance disputes nationally this month.</w:t>
      </w:r>
    </w:p>
    <w:p>
      <w:pPr>
        <w:pStyle w:val="ListParagraph"/>
        <w:numPr>
          <w:ilvl w:val="0"/>
          <w:numId w:val="2"/>
        </w:numPr>
        <w:spacing w:after="80"/>
      </w:pPr>
      <w:r>
        <w:rPr>
          <w:b w:val="false"/>
          <w:bCs w:val="false"/>
        </w:rPr>
        <w:t xml:space="preserve">Karnataka's pending guidance-value notification and ongoing K-RERA reconstitution continue to illustrate the uneven pace of regulatory modernisation across South India's state real estate regulators.</w:t>
      </w:r>
    </w:p>
    <w:p>
      <w:pPr>
        <w:spacing w:after="150"/>
      </w:pPr>
      <w:r>
        <w:rPr>
          <w:i/>
          <w:iCs/>
          <w:color w:val="595959"/>
          <w:sz w:val="18"/>
          <w:szCs w:val="18"/>
        </w:rPr>
        <w:t xml:space="preserve">Sources: Business Standard; Munsif Daily/Telangana Today; PropNewz/Deccan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2026-08-25T03:41:04.863Z</dcterms:created>
  <dcterms:modified xsi:type="dcterms:W3CDTF">2026-08-25T03:41:04.877Z</dcterms:modified>
</cp:coreProperties>
</file>

<file path=docProps/custom.xml><?xml version="1.0" encoding="utf-8"?>
<Properties xmlns="http://schemas.openxmlformats.org/officeDocument/2006/custom-properties" xmlns:vt="http://schemas.openxmlformats.org/officeDocument/2006/docPropsVTypes"/>
</file>