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22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Q1 2026 set a new quarterly record for India's residential launches at 90,023 units (+13% YoY, +32% QoQ); Bengaluru led all cities with 27,055 launches, up 32% YoY.</w:t>
      </w:r>
    </w:p>
    <w:p>
      <w:pPr>
        <w:pStyle w:val="ListParagraph"/>
        <w:numPr>
          <w:ilvl w:val="0"/>
          <w:numId w:val="2"/>
        </w:numPr>
        <w:spacing w:after="80"/>
      </w:pPr>
      <w:r>
        <w:rPr>
          <w:b w:val="false"/>
          <w:bCs w:val="false"/>
        </w:rPr>
        <w:t xml:space="preserve">Bengaluru's July–September period saw record-breaking home sales, driven by rising NRI inflows, infrastructure-led corridor growth and continued premiumisation of residential demand.</w:t>
      </w:r>
    </w:p>
    <w:p>
      <w:pPr>
        <w:pStyle w:val="ListParagraph"/>
        <w:numPr>
          <w:ilvl w:val="0"/>
          <w:numId w:val="2"/>
        </w:numPr>
        <w:spacing w:after="80"/>
      </w:pPr>
      <w:r>
        <w:rPr>
          <w:b w:val="false"/>
          <w:bCs w:val="false"/>
        </w:rPr>
        <w:t xml:space="preserve">Reports point to a choppier quarter-to-quarter path underneath the annual trend — a 19% rise in home sales in one recent reading follows an earlier June-quarter reading that had shown a 16% dip.</w:t>
      </w:r>
    </w:p>
    <w:p>
      <w:pPr>
        <w:pStyle w:val="ListParagraph"/>
        <w:numPr>
          <w:ilvl w:val="0"/>
          <w:numId w:val="2"/>
        </w:numPr>
        <w:spacing w:after="80"/>
      </w:pPr>
      <w:r>
        <w:rPr>
          <w:b w:val="false"/>
          <w:bCs w:val="false"/>
        </w:rPr>
        <w:t xml:space="preserve">Prestige Estates plans to invest ~₹15,000 crore this fiscal in residential and commercial construction across South India, MMR and Delhi-NCR, with Bengaluru among its core markets.</w:t>
      </w:r>
    </w:p>
    <w:p>
      <w:pPr>
        <w:spacing w:after="150"/>
      </w:pPr>
      <w:r>
        <w:rPr>
          <w:i/>
          <w:iCs/>
          <w:color w:val="595959"/>
          <w:sz w:val="18"/>
          <w:szCs w:val="18"/>
        </w:rPr>
        <w:t xml:space="preserve">Sources: Business Standard/company filings; JLL Residential Dynamics; Deccan Herald.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led India's commercial property market in H1 2026 with companies leasing 14.1 million sq ft, and posted 5.6 million sq ft of gross office leasing in Q2 2026, with GCCs at 52% of quarterly leasing.</w:t>
      </w:r>
    </w:p>
    <w:p>
      <w:pPr>
        <w:pStyle w:val="ListParagraph"/>
        <w:numPr>
          <w:ilvl w:val="0"/>
          <w:numId w:val="2"/>
        </w:numPr>
        <w:spacing w:after="80"/>
      </w:pPr>
      <w:r>
        <w:rPr>
          <w:b w:val="false"/>
          <w:bCs w:val="false"/>
        </w:rPr>
        <w:t xml:space="preserve">Karnataka is developing sustainable "data parks" across Bengaluru, Mysuru and Mangaluru; a 500 MW data-centre park is planned near Hoskote, drawing solar power from Pavagada, as the state moves to formalise land and power allocation for the sector.</w:t>
      </w:r>
    </w:p>
    <w:p>
      <w:pPr>
        <w:pStyle w:val="ListParagraph"/>
        <w:numPr>
          <w:ilvl w:val="0"/>
          <w:numId w:val="2"/>
        </w:numPr>
        <w:spacing w:after="80"/>
      </w:pPr>
      <w:r>
        <w:rPr>
          <w:b w:val="false"/>
          <w:bCs w:val="false"/>
        </w:rPr>
        <w:t xml:space="preserve">Most of Bengaluru's existing data centres remain clustered in Whitefield and Electronic City, with newer capacity now expanding toward Devanahalli amid land and power constraints in the core tech corridors.</w:t>
      </w:r>
    </w:p>
    <w:p>
      <w:pPr>
        <w:spacing w:after="150"/>
      </w:pPr>
      <w:r>
        <w:rPr>
          <w:i/>
          <w:iCs/>
          <w:color w:val="595959"/>
          <w:sz w:val="18"/>
          <w:szCs w:val="18"/>
        </w:rPr>
        <w:t xml:space="preserve">Sources: Deccan Herald; DevDiscourse; Newslaundry; BigInfo.</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remains without a permanent chairman following HC Kishore Chandra's superannuation; the state government is unlikely to name a replacement until the poll-related model code of conduct is lifted.</w:t>
      </w:r>
    </w:p>
    <w:p>
      <w:pPr>
        <w:pStyle w:val="ListParagraph"/>
        <w:numPr>
          <w:ilvl w:val="0"/>
          <w:numId w:val="2"/>
        </w:numPr>
        <w:spacing w:after="80"/>
      </w:pPr>
      <w:r>
        <w:rPr>
          <w:b w:val="false"/>
          <w:bCs w:val="false"/>
        </w:rPr>
        <w:t xml:space="preserve">K-RERA continues rolling out digital tools and an automated complaint-redressal mechanism through 2026, aimed at streamlining processes for homebuyers and developers alike.</w:t>
      </w:r>
    </w:p>
    <w:p>
      <w:pPr>
        <w:pStyle w:val="ListParagraph"/>
        <w:numPr>
          <w:ilvl w:val="0"/>
          <w:numId w:val="2"/>
        </w:numPr>
        <w:spacing w:after="80"/>
      </w:pPr>
      <w:r>
        <w:rPr>
          <w:b w:val="false"/>
          <w:bCs w:val="false"/>
        </w:rPr>
        <w:t xml:space="preserve">CREDAI Karnataka, led by President Bhaskar T. Nagendrappa, continues to focus its agenda on both metropolitan Bengaluru and Tier-2 Karnataka towns.</w:t>
      </w:r>
    </w:p>
    <w:p>
      <w:pPr>
        <w:spacing w:after="150"/>
      </w:pPr>
      <w:r>
        <w:rPr>
          <w:i/>
          <w:iCs/>
          <w:color w:val="595959"/>
          <w:sz w:val="18"/>
          <w:szCs w:val="18"/>
        </w:rPr>
        <w:t xml:space="preserve">Sources: Deccan Herald; BasicHomeLoan;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registrations rose 25% YoY in November 2025, and its February 2026 registrations totalled 6,179 units worth ₹4,139 crore — continued strong demand and rising average prices.</w:t>
      </w:r>
    </w:p>
    <w:p>
      <w:pPr>
        <w:pStyle w:val="ListParagraph"/>
        <w:numPr>
          <w:ilvl w:val="0"/>
          <w:numId w:val="2"/>
        </w:numPr>
        <w:spacing w:after="80"/>
      </w:pPr>
      <w:r>
        <w:rPr>
          <w:b w:val="false"/>
          <w:bCs w:val="false"/>
        </w:rPr>
        <w:t xml:space="preserve">Hyderabad, Bengaluru and Chennai together posted a 47% rise in housing sales in a recent September quarter, reaching 38,644 units versus 26,284 a year earlier; Chennai's sales more than doubled to 7,862 units in the same window.</w:t>
      </w:r>
    </w:p>
    <w:p>
      <w:pPr>
        <w:pStyle w:val="ListParagraph"/>
        <w:numPr>
          <w:ilvl w:val="0"/>
          <w:numId w:val="2"/>
        </w:numPr>
        <w:spacing w:after="80"/>
      </w:pPr>
      <w:r>
        <w:rPr>
          <w:b w:val="false"/>
          <w:bCs w:val="false"/>
        </w:rPr>
        <w:t xml:space="preserve">Telangana is planning a ₹4 lakh crore Hyderabad mobility programme through 2050 — including metro rail expansion, new roads and BRTS corridors — intended to support the city's continued residential and commercial growth.</w:t>
      </w:r>
    </w:p>
    <w:p>
      <w:pPr>
        <w:spacing w:after="150"/>
      </w:pPr>
      <w:r>
        <w:rPr>
          <w:i/>
          <w:iCs/>
          <w:color w:val="595959"/>
          <w:sz w:val="18"/>
          <w:szCs w:val="18"/>
        </w:rPr>
        <w:t xml:space="preserve">Sources: 99acres; Business Standard/PropTiger; Charan Group.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drove a 38% surge in India's H1 2026 office demand, leasing 16.5 million sq ft nationally, with Bengaluru the top GCC market and GCCs also making up 55% of Chennai's 3.2 million sq ft and 48% of Hyderabad's 6.4 million sq ft absorption.</w:t>
      </w:r>
    </w:p>
    <w:p>
      <w:pPr>
        <w:pStyle w:val="ListParagraph"/>
        <w:numPr>
          <w:ilvl w:val="0"/>
          <w:numId w:val="2"/>
        </w:numPr>
        <w:spacing w:after="80"/>
      </w:pPr>
      <w:r>
        <w:rPr>
          <w:b w:val="false"/>
          <w:bCs w:val="false"/>
        </w:rPr>
        <w:t xml:space="preserve">Delhi-NCR and Chennai together accounted for more than 45% of India's industrial and warehousing leasing in H1 2026, with new completions nationally up 27% YoY to 25 million sq ft even as vacancy rose to 17.2% as supply outpaced demand.</w:t>
      </w:r>
    </w:p>
    <w:p>
      <w:pPr>
        <w:pStyle w:val="ListParagraph"/>
        <w:numPr>
          <w:ilvl w:val="0"/>
          <w:numId w:val="2"/>
        </w:numPr>
        <w:spacing w:after="80"/>
      </w:pPr>
      <w:r>
        <w:rPr>
          <w:b w:val="false"/>
          <w:bCs w:val="false"/>
        </w:rPr>
        <w:t xml:space="preserve">Prestige Estates' ~₹15,000 crore fiscal-year investment plan spans South India alongside MMR and Delhi-NCR, underlining continued developer capital commitment to the region's commercial and residential pipeline.</w:t>
      </w:r>
    </w:p>
    <w:p>
      <w:pPr>
        <w:spacing w:after="150"/>
      </w:pPr>
      <w:r>
        <w:rPr>
          <w:i/>
          <w:iCs/>
          <w:color w:val="595959"/>
          <w:sz w:val="18"/>
          <w:szCs w:val="18"/>
        </w:rPr>
        <w:t xml:space="preserve">Sources: Newkerala; BusinessWorld; Business Standard.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Trivandrum has made a formal representation to the K-RERA chairperson regarding delays affecting its member developers, per CREDAI's April 2026 e-newsletter.</w:t>
      </w:r>
    </w:p>
    <w:p>
      <w:pPr>
        <w:pStyle w:val="ListParagraph"/>
        <w:numPr>
          <w:ilvl w:val="0"/>
          <w:numId w:val="2"/>
        </w:numPr>
        <w:spacing w:after="80"/>
      </w:pPr>
      <w:r>
        <w:rPr>
          <w:b w:val="false"/>
          <w:bCs w:val="false"/>
        </w:rPr>
        <w:t xml:space="preserve">CREDAI Kochi hosted an event at its House of CREDAI premises and is supporting Indian Medical Association initiatives, reflecting its wider community-engagement push in Kerala.</w:t>
      </w:r>
    </w:p>
    <w:p>
      <w:pPr>
        <w:pStyle w:val="ListParagraph"/>
        <w:numPr>
          <w:ilvl w:val="0"/>
          <w:numId w:val="2"/>
        </w:numPr>
        <w:spacing w:after="80"/>
      </w:pPr>
      <w:r>
        <w:rPr>
          <w:b w:val="false"/>
          <w:bCs w:val="false"/>
        </w:rPr>
        <w:t xml:space="preserve">CREDAI Andhra Pradesh continues to represent members' interests to state government ministries through regular interactions, per CREDAI's regional-chapter resources.</w:t>
      </w:r>
    </w:p>
    <w:p>
      <w:pPr>
        <w:spacing w:after="150"/>
      </w:pPr>
      <w:r>
        <w:rPr>
          <w:i/>
          <w:iCs/>
          <w:color w:val="595959"/>
          <w:sz w:val="18"/>
          <w:szCs w:val="18"/>
        </w:rPr>
        <w:t xml:space="preserve">Sources: CREDAI E-Newsletter (April 2026); CREDAI Andhra Pradesh; CREDAI Kerala.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residential market set a new quarterly launch record in Q1 2026 with 90,023 new units (+13% YoY, +32% QoQ); Delhi-NCR posted exceptional 64% YoY growth to 13,631 units, behind Bengaluru's 27,055.</w:t>
      </w:r>
    </w:p>
    <w:p>
      <w:pPr>
        <w:pStyle w:val="ListParagraph"/>
        <w:numPr>
          <w:ilvl w:val="0"/>
          <w:numId w:val="2"/>
        </w:numPr>
        <w:spacing w:after="80"/>
      </w:pPr>
      <w:r>
        <w:rPr>
          <w:b w:val="false"/>
          <w:bCs w:val="false"/>
        </w:rPr>
        <w:t xml:space="preserve">Buyer preference continues shifting upmarket — demand for sub-₹1 crore housing is declining while the ₹1 crore-plus segment surged 45% YoY in new launches.</w:t>
      </w:r>
    </w:p>
    <w:p>
      <w:pPr>
        <w:pStyle w:val="ListParagraph"/>
        <w:numPr>
          <w:ilvl w:val="0"/>
          <w:numId w:val="2"/>
        </w:numPr>
        <w:spacing w:after="80"/>
      </w:pPr>
      <w:r>
        <w:rPr>
          <w:b w:val="false"/>
          <w:bCs w:val="false"/>
        </w:rPr>
        <w:t xml:space="preserve">Developer momentum remains strong: Embassy Developments' sales bookings rose 128% YoY to ₹4,631 crore in FY25-26; Oberoi Realty entered the Delhi-NCR market with its first luxury project (₹6,000 crore investment, ₹16,000 crore revenue potential) after selling ₹8,109 crore of homes at its newly launched Gurugram project.</w:t>
      </w:r>
    </w:p>
    <w:p>
      <w:pPr>
        <w:spacing w:after="150"/>
      </w:pPr>
      <w:r>
        <w:rPr>
          <w:i/>
          <w:iCs/>
          <w:color w:val="595959"/>
          <w:sz w:val="18"/>
          <w:szCs w:val="18"/>
        </w:rPr>
        <w:t xml:space="preserve">Sources: JLL Residential Dynamics Report; Business Standard/company filings.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posted its highest-ever H1 gross leasing volume in H1 2026, up 5% YoY, with GCCs driving a 38% surge in demand (16.5 million sq ft leased); vacancy across the top 7 cities tightened to 15% in H1 2026 from 16.3% in H1 2025.</w:t>
      </w:r>
    </w:p>
    <w:p>
      <w:pPr>
        <w:pStyle w:val="ListParagraph"/>
        <w:numPr>
          <w:ilvl w:val="0"/>
          <w:numId w:val="2"/>
        </w:numPr>
        <w:spacing w:after="80"/>
      </w:pPr>
      <w:r>
        <w:rPr>
          <w:b w:val="false"/>
          <w:bCs w:val="false"/>
        </w:rPr>
        <w:t xml:space="preserve">Industrial and warehousing gross absorption reached 18.3 million sq ft in Q1 2026, with manufacturing at 28% of activity; H1 2026 leasing rose 12% YoY to ~22 million sq ft, and Grade-A supply is projected to reach 45–50 million sq ft by end-2026.</w:t>
      </w:r>
    </w:p>
    <w:p>
      <w:pPr>
        <w:pStyle w:val="ListParagraph"/>
        <w:numPr>
          <w:ilvl w:val="0"/>
          <w:numId w:val="2"/>
        </w:numPr>
        <w:spacing w:after="80"/>
      </w:pPr>
      <w:r>
        <w:rPr>
          <w:b w:val="false"/>
          <w:bCs w:val="false"/>
        </w:rPr>
        <w:t xml:space="preserve">New industrial/warehousing completions surged 27% YoY to 25 million sq ft nationally, pushing vacancy to 17.2% as supply outpaces demand — a signal worth watching alongside the continued absorption growth.</w:t>
      </w:r>
    </w:p>
    <w:p>
      <w:pPr>
        <w:spacing w:after="150"/>
      </w:pPr>
      <w:r>
        <w:rPr>
          <w:i/>
          <w:iCs/>
          <w:color w:val="595959"/>
          <w:sz w:val="18"/>
          <w:szCs w:val="18"/>
        </w:rPr>
        <w:t xml:space="preserve">Sources: Newkerala; Business Standard/CBRE; Prokerala; EPC World.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Union Budget 2026-27 submission (January 2026) calls for revising the two-decade-old affordable-housing definition — raising carpet-area norms to 90 sq.m in metros/120 sq.m in non-metros and removing the outdated ₹45 lakh value cap entirely — to reflect current land and construction costs.</w:t>
      </w:r>
    </w:p>
    <w:p>
      <w:pPr>
        <w:pStyle w:val="ListParagraph"/>
        <w:numPr>
          <w:ilvl w:val="0"/>
          <w:numId w:val="2"/>
        </w:numPr>
        <w:spacing w:after="80"/>
      </w:pPr>
      <w:r>
        <w:rPr>
          <w:b w:val="false"/>
          <w:bCs w:val="false"/>
        </w:rPr>
        <w:t xml:space="preserve">RERA has resolved 1.5 lakh consumer complaints since inception, per CREDAI's "RERA 2.0: Unfolding the New Era of Growth" report, reinforcing its role as a globally recognised consumer-protection framework.</w:t>
      </w:r>
    </w:p>
    <w:p>
      <w:pPr>
        <w:pStyle w:val="ListParagraph"/>
        <w:numPr>
          <w:ilvl w:val="0"/>
          <w:numId w:val="2"/>
        </w:numPr>
        <w:spacing w:after="80"/>
      </w:pPr>
      <w:r>
        <w:rPr>
          <w:b w:val="false"/>
          <w:bCs w:val="false"/>
        </w:rPr>
        <w:t xml:space="preserve">At the CREDAI National Conclave 2025 (December), flagship national infrastructure programmes — the National Infrastructure Pipeline, Bharatmala, Sagarmala and Parvatmala — were highlighted as key enablers strengthening urban development and, by extension, real estate demand.</w:t>
      </w:r>
    </w:p>
    <w:p>
      <w:pPr>
        <w:spacing w:after="150"/>
      </w:pPr>
      <w:r>
        <w:rPr>
          <w:i/>
          <w:iCs/>
          <w:color w:val="595959"/>
          <w:sz w:val="18"/>
          <w:szCs w:val="18"/>
        </w:rPr>
        <w:t xml:space="preserve">Sources: CREDAI (credai.org); DD News/News on Air;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2026-07-22T03:39:38.860Z</dcterms:created>
  <dcterms:modified xsi:type="dcterms:W3CDTF">2026-07-22T03:39:38.876Z</dcterms:modified>
</cp:coreProperties>
</file>

<file path=docProps/custom.xml><?xml version="1.0" encoding="utf-8"?>
<Properties xmlns="http://schemas.openxmlformats.org/officeDocument/2006/custom-properties" xmlns:vt="http://schemas.openxmlformats.org/officeDocument/2006/docPropsVTypes"/>
</file>