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18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12,544 residential unit launches in Q2 2026 (+4% YoY); H1 2026 launches crossed 25,000 units, marking a record first half for the city.</w:t>
      </w:r>
    </w:p>
    <w:p>
      <w:pPr>
        <w:pStyle w:val="ListParagraph"/>
        <w:numPr>
          <w:ilvl w:val="0"/>
          <w:numId w:val="2"/>
        </w:numPr>
        <w:spacing w:after="80"/>
      </w:pPr>
      <w:r>
        <w:rPr>
          <w:b w:val="false"/>
          <w:bCs w:val="false"/>
        </w:rPr>
        <w:t xml:space="preserve">Submarket share of new launches: South Bengaluru led with 38% (Electronic City, Bannerghatta Road, Kanakapura Road corridors), North 28%, East 26% (led by Whitefield).</w:t>
      </w:r>
    </w:p>
    <w:p>
      <w:pPr>
        <w:pStyle w:val="ListParagraph"/>
        <w:numPr>
          <w:ilvl w:val="0"/>
          <w:numId w:val="2"/>
        </w:numPr>
        <w:spacing w:after="80"/>
      </w:pPr>
      <w:r>
        <w:rPr>
          <w:b w:val="false"/>
          <w:bCs w:val="false"/>
        </w:rPr>
        <w:t xml:space="preserve">Average residential prices rose from ~₹7,120/sq ft in 2023 to ~₹9,260/sq ft in 2025; price growth has cooled to ~6% in 2025 (from a sharp 17% in 2024), signalling a return to fundamentals with more disciplined pricing and better negotiating room for buyers.</w:t>
      </w:r>
    </w:p>
    <w:p>
      <w:pPr>
        <w:pStyle w:val="ListParagraph"/>
        <w:numPr>
          <w:ilvl w:val="0"/>
          <w:numId w:val="2"/>
        </w:numPr>
        <w:spacing w:after="80"/>
      </w:pPr>
      <w:r>
        <w:rPr>
          <w:b w:val="false"/>
          <w:bCs w:val="false"/>
        </w:rPr>
        <w:t xml:space="preserve">Bengaluru sold 128 ultra-luxury homes (₹10 crore+) in FY26 — smaller than Hyderabad (625 units) and larger than Chennai (58 units) in South India's luxury segment, with ₹10 crore fetching ~3,900 sq ft in Bengaluru against 6,200 sq ft in Hyderabad.</w:t>
      </w:r>
    </w:p>
    <w:p>
      <w:pPr>
        <w:spacing w:after="150"/>
      </w:pPr>
      <w:r>
        <w:rPr>
          <w:i/>
          <w:iCs/>
          <w:color w:val="595959"/>
          <w:sz w:val="18"/>
          <w:szCs w:val="18"/>
        </w:rPr>
        <w:t xml:space="preserve">Sources: Cushman &amp; Wakefield Bengaluru MarketBeat; Modern Spaaces market analysis; IBEF/luxury housing report.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held a 23% share of India's Q1 2026 office gross leasing (21.9 million sq ft across top 8 cities, +13% YoY) — second only to Mumbai (30%).</w:t>
      </w:r>
    </w:p>
    <w:p>
      <w:pPr>
        <w:pStyle w:val="ListParagraph"/>
        <w:numPr>
          <w:ilvl w:val="0"/>
          <w:numId w:val="2"/>
        </w:numPr>
        <w:spacing w:after="80"/>
      </w:pPr>
      <w:r>
        <w:rPr>
          <w:b w:val="false"/>
          <w:bCs w:val="false"/>
        </w:rPr>
        <w:t xml:space="preserve">Demand continues to be led by IT-BPM occupiers and expanding Global Capability Centres (GCCs), alongside sustained flex-space operator uptake.</w:t>
      </w:r>
    </w:p>
    <w:p>
      <w:pPr>
        <w:spacing w:after="150"/>
      </w:pPr>
      <w:r>
        <w:rPr>
          <w:i/>
          <w:iCs/>
          <w:color w:val="595959"/>
          <w:sz w:val="18"/>
          <w:szCs w:val="18"/>
        </w:rPr>
        <w:t xml:space="preserve">Source: Cushman &amp; Wakefield India Office Market Report, Q1 2026.</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ruling: handing over a flat's keys does not constitute complete possession — a Bengaluru developer has been directed to finish all promised amenities and transfer khata, corpus fund and maintenance accounts to the owners' association within 90 days; the case involved a 2017 possession where water, power-meter and DG back-up commitments remained unfulfilled for over six years.</w:t>
      </w:r>
    </w:p>
    <w:p>
      <w:pPr>
        <w:pStyle w:val="ListParagraph"/>
        <w:numPr>
          <w:ilvl w:val="0"/>
          <w:numId w:val="2"/>
        </w:numPr>
        <w:spacing w:after="80"/>
      </w:pPr>
      <w:r>
        <w:rPr>
          <w:b w:val="false"/>
          <w:bCs w:val="false"/>
        </w:rPr>
        <w:t xml:space="preserve">Earlier K-RERA order: a Bengaluru developer was directed to hand over a delayed villa and pay ₹70 lakh interest to the affected buyers (April 2026).</w:t>
      </w:r>
    </w:p>
    <w:p>
      <w:pPr>
        <w:pStyle w:val="ListParagraph"/>
        <w:numPr>
          <w:ilvl w:val="0"/>
          <w:numId w:val="2"/>
        </w:numPr>
        <w:spacing w:after="80"/>
      </w:pPr>
      <w:r>
        <w:rPr>
          <w:b w:val="false"/>
          <w:bCs w:val="false"/>
        </w:rPr>
        <w:t xml:space="preserve">CREDAI has sought a 3–6 month extension on RERA project-completion timelines nationally, citing construction and supply-chain challenges — directly relevant to Karnataka/CREDAI Bengaluru members managing delayed projects.</w:t>
      </w:r>
    </w:p>
    <w:p>
      <w:pPr>
        <w:spacing w:after="150"/>
      </w:pPr>
      <w:r>
        <w:rPr>
          <w:i/>
          <w:iCs/>
          <w:color w:val="595959"/>
          <w:sz w:val="18"/>
          <w:szCs w:val="18"/>
        </w:rPr>
        <w:t xml:space="preserve">Sources: Deccan Herald; Business Standard; Outlook Money; CREDAI Bengaluru/Karnataka.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recorded ~4,350 residential launches in Q2 2026 (+17% QoQ), with Suburban West leading at a 44% share; prices are projected to grow 7–9% in 2025-26, with the city continuing to be positioned as a value-driven, lower-entry-price alternative to Bengaluru and Hyderabad.</w:t>
      </w:r>
    </w:p>
    <w:p>
      <w:pPr>
        <w:pStyle w:val="ListParagraph"/>
        <w:numPr>
          <w:ilvl w:val="0"/>
          <w:numId w:val="2"/>
        </w:numPr>
        <w:spacing w:after="80"/>
      </w:pPr>
      <w:r>
        <w:rPr>
          <w:b w:val="false"/>
          <w:bCs w:val="false"/>
        </w:rPr>
        <w:t xml:space="preserve">Hyderabad remains South India's ultra-luxury leader — 625 homes priced above ₹10 crore were sold in FY26 worth ₹8,562 crore, versus Bengaluru (128 units) and Chennai (58 units); a ₹10 crore ticket buys ~6,200 sq ft in Hyderabad against 3,900 sq ft in Bengaluru and 4,300 sq ft in Chennai.</w:t>
      </w:r>
    </w:p>
    <w:p>
      <w:pPr>
        <w:pStyle w:val="ListParagraph"/>
        <w:numPr>
          <w:ilvl w:val="0"/>
          <w:numId w:val="2"/>
        </w:numPr>
        <w:spacing w:after="80"/>
      </w:pPr>
      <w:r>
        <w:rPr>
          <w:b w:val="false"/>
          <w:bCs w:val="false"/>
        </w:rPr>
        <w:t xml:space="preserve">Collectively, Bengaluru, Chennai and Hyderabad sold 811 ultra-luxury units worth ₹11,246 crore in FY26, underscoring South India's growing share of India's high-end residential demand.</w:t>
      </w:r>
    </w:p>
    <w:p>
      <w:pPr>
        <w:spacing w:after="150"/>
      </w:pPr>
      <w:r>
        <w:rPr>
          <w:i/>
          <w:iCs/>
          <w:color w:val="595959"/>
          <w:sz w:val="18"/>
          <w:szCs w:val="18"/>
        </w:rPr>
        <w:t xml:space="preserve">Sources: Cushman &amp; Wakefield Chennai MarketBeat; The Hans India; IBEF; Tradebrains.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office market posted gross leasing of ~1.66 million sq ft in Q1 2026, with Global Capability Centres accounting for 55% of quarterly leasing — reinforcing the city's rise as a GCC hub alongside its traditional manufacturing and export-led economy.</w:t>
      </w:r>
    </w:p>
    <w:p>
      <w:pPr>
        <w:pStyle w:val="ListParagraph"/>
        <w:numPr>
          <w:ilvl w:val="0"/>
          <w:numId w:val="2"/>
        </w:numPr>
        <w:spacing w:after="80"/>
      </w:pPr>
      <w:r>
        <w:rPr>
          <w:b w:val="false"/>
          <w:bCs w:val="false"/>
        </w:rPr>
        <w:t xml:space="preserve">Hyderabad held a 14% share of India's Q1 2026 office leasing (third-largest after Mumbai and Bengaluru), continuing to draw biotech and technology occupiers.</w:t>
      </w:r>
    </w:p>
    <w:p>
      <w:pPr>
        <w:spacing w:after="150"/>
      </w:pPr>
      <w:r>
        <w:rPr>
          <w:i/>
          <w:iCs/>
          <w:color w:val="595959"/>
          <w:sz w:val="18"/>
          <w:szCs w:val="18"/>
        </w:rPr>
        <w:t xml:space="preserve">Sources: Cushman &amp; Wakefield Chennai MarketBeat; The Hans India.</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Telangana RERA project registrations rose from 3,630 (November 2021) to 8,227 (November 2023), reflecting steady formalisation of the state's real estate market.</w:t>
      </w:r>
    </w:p>
    <w:p>
      <w:pPr>
        <w:pStyle w:val="ListParagraph"/>
        <w:numPr>
          <w:ilvl w:val="0"/>
          <w:numId w:val="2"/>
        </w:numPr>
        <w:spacing w:after="80"/>
      </w:pPr>
      <w:r>
        <w:rPr>
          <w:b w:val="false"/>
          <w:bCs w:val="false"/>
        </w:rPr>
        <w:t xml:space="preserve">CREDAI Hyderabad Property Show 2026, held at HITEX in February 2026, drew a strong visitor and exhibitor response.</w:t>
      </w:r>
    </w:p>
    <w:p>
      <w:pPr>
        <w:pStyle w:val="ListParagraph"/>
        <w:numPr>
          <w:ilvl w:val="0"/>
          <w:numId w:val="2"/>
        </w:numPr>
        <w:spacing w:after="80"/>
      </w:pPr>
      <w:r>
        <w:rPr>
          <w:b w:val="false"/>
          <w:bCs w:val="false"/>
        </w:rPr>
        <w:t xml:space="preserve">Tamil Nadu RERA issued show-cause notices to five real-estate companies for norm violations, directing responses within 15 days.</w:t>
      </w:r>
    </w:p>
    <w:p>
      <w:pPr>
        <w:pStyle w:val="ListParagraph"/>
        <w:numPr>
          <w:ilvl w:val="0"/>
          <w:numId w:val="2"/>
        </w:numPr>
        <w:spacing w:after="80"/>
      </w:pPr>
      <w:r>
        <w:rPr>
          <w:b w:val="false"/>
          <w:bCs w:val="false"/>
        </w:rPr>
        <w:t xml:space="preserve">CREDAI's national ask for a 3–6 month RERA completion-timeline extension also covers Telangana and Tamil Nadu developer members facing supply-chain-linked delays.</w:t>
      </w:r>
    </w:p>
    <w:p>
      <w:pPr>
        <w:spacing w:after="150"/>
      </w:pPr>
      <w:r>
        <w:rPr>
          <w:i/>
          <w:iCs/>
          <w:color w:val="595959"/>
          <w:sz w:val="18"/>
          <w:szCs w:val="18"/>
        </w:rPr>
        <w:t xml:space="preserve">Sources: Telangana Today; TN-RERA; RERA.news; CREDAI Hyderabad.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price growth across India's top 8 cities cooled to ~6% in 2025 (from a sharp 17% in 2024); affordability improved in H1 2026 on the back of RBI's cumulative 125 bps repo rate cuts, though MMR and NCR remain above the affordability threshold.</w:t>
      </w:r>
    </w:p>
    <w:p>
      <w:pPr>
        <w:pStyle w:val="ListParagraph"/>
        <w:numPr>
          <w:ilvl w:val="0"/>
          <w:numId w:val="2"/>
        </w:numPr>
        <w:spacing w:after="80"/>
      </w:pPr>
      <w:r>
        <w:rPr>
          <w:b w:val="false"/>
          <w:bCs w:val="false"/>
        </w:rPr>
        <w:t xml:space="preserve">Developer momentum stayed strong even as prices cooled: Puravankara reported a 28% rise in Q1 FY27 sales bookings to ₹1,439 crore; Oberoi Realty's 'Three Sixty North' project in NCR logged gross bookings of ~₹8,109 crore on 13.52 lakh sq ft of RERA carpet area sold.</w:t>
      </w:r>
    </w:p>
    <w:p>
      <w:pPr>
        <w:pStyle w:val="ListParagraph"/>
        <w:numPr>
          <w:ilvl w:val="0"/>
          <w:numId w:val="2"/>
        </w:numPr>
        <w:spacing w:after="80"/>
      </w:pPr>
      <w:r>
        <w:rPr>
          <w:b w:val="false"/>
          <w:bCs w:val="false"/>
        </w:rPr>
        <w:t xml:space="preserve">Magicbricks continues to expand its 'MagicHomes' new-launch discovery platform — now covering Delhi-NCR, MMR, Bengaluru, Hyderabad, Kolkata, Pune, Ahmedabad and Chennai — with project data cross-verified against RERA filings.</w:t>
      </w:r>
    </w:p>
    <w:p>
      <w:pPr>
        <w:spacing w:after="150"/>
      </w:pPr>
      <w:r>
        <w:rPr>
          <w:i/>
          <w:iCs/>
          <w:color w:val="595959"/>
          <w:sz w:val="18"/>
          <w:szCs w:val="18"/>
        </w:rPr>
        <w:t xml:space="preserve">Sources: Business Standard; company results/exchange filings; Magicbricks.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Office: Q1 2026 gross leasing reached 21.9 million sq ft across the top 8 cities (+13% YoY); Mumbai led with 30% share, followed by Bengaluru (23%) and Hyderabad (14%); IT-BPM (23%) and BFSI (21%) were the top demand drivers, with flex operators (18%) and engineering &amp; manufacturing (15%) close behind.</w:t>
      </w:r>
    </w:p>
    <w:p>
      <w:pPr>
        <w:pStyle w:val="ListParagraph"/>
        <w:numPr>
          <w:ilvl w:val="0"/>
          <w:numId w:val="2"/>
        </w:numPr>
        <w:spacing w:after="80"/>
      </w:pPr>
      <w:r>
        <w:rPr>
          <w:b w:val="false"/>
          <w:bCs w:val="false"/>
        </w:rPr>
        <w:t xml:space="preserve">Industrial &amp; Warehousing: H1 2026 net absorption reached 34.8 million sq ft (+2.4% YoY), with gross leasing across the top 8 cities up 12% YoY to ~22 million sq ft; manufacturing (30%) and 3PL operators (23%) led demand, followed by FMCG/FMCD (18%) and e-commerce (10%).</w:t>
      </w:r>
    </w:p>
    <w:p>
      <w:pPr>
        <w:pStyle w:val="ListParagraph"/>
        <w:numPr>
          <w:ilvl w:val="0"/>
          <w:numId w:val="2"/>
        </w:numPr>
        <w:spacing w:after="80"/>
      </w:pPr>
      <w:r>
        <w:rPr>
          <w:b w:val="false"/>
          <w:bCs w:val="false"/>
        </w:rPr>
        <w:t xml:space="preserve">Delhi-NCR remained India's leading logistics micro-market with ~20% of national absorption, ahead of the Pune (17%) and Mumbai (16%) industrial corridors; Grade-A asset absorption rose to 59% in H1 2026 (from 55% in H1 2025) on ESG and global-compliance-led flight to quality.</w:t>
      </w:r>
    </w:p>
    <w:p>
      <w:pPr>
        <w:spacing w:after="150"/>
      </w:pPr>
      <w:r>
        <w:rPr>
          <w:i/>
          <w:iCs/>
          <w:color w:val="595959"/>
          <w:sz w:val="18"/>
          <w:szCs w:val="18"/>
        </w:rPr>
        <w:t xml:space="preserve">Sources: Cushman &amp; Wakefield India Office Market Report &amp; Outlook 2026; BizzBuzz; India Tribune; Newkerala.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Budget 2026 recommendations to the Centre: raise the affordable-housing price cap from ₹45 lakh to ₹90 lakh, and restore tax incentives for developers building affordable housing.</w:t>
      </w:r>
    </w:p>
    <w:p>
      <w:pPr>
        <w:pStyle w:val="ListParagraph"/>
        <w:numPr>
          <w:ilvl w:val="0"/>
          <w:numId w:val="2"/>
        </w:numPr>
        <w:spacing w:after="80"/>
      </w:pPr>
      <w:r>
        <w:rPr>
          <w:b w:val="false"/>
          <w:bCs w:val="false"/>
        </w:rPr>
        <w:t xml:space="preserve">CREDAI has formally sought a 3–6 month extension to RERA project-completion timelines nationwide, citing ongoing construction-cost and supply-chain pressures on builders.</w:t>
      </w:r>
    </w:p>
    <w:p>
      <w:pPr>
        <w:pStyle w:val="ListParagraph"/>
        <w:numPr>
          <w:ilvl w:val="0"/>
          <w:numId w:val="2"/>
        </w:numPr>
        <w:spacing w:after="80"/>
      </w:pPr>
      <w:r>
        <w:rPr>
          <w:b w:val="false"/>
          <w:bCs w:val="false"/>
        </w:rPr>
        <w:t xml:space="preserve">CREDAI's 'Real Estate @2047 — Fostering Equity and Fuelling Economic Growth' roadmap projects the sector reaching USD 10 trillion by 2047 (~one-fifth of India's GDP), citing urbanisation, infrastructure build-out, affordable housing demand and digital/GenAI adoption as the key growth drivers; CREDAI currently estimates sector-wide growth at a 10–12% CAGR.</w:t>
      </w:r>
    </w:p>
    <w:p>
      <w:pPr>
        <w:spacing w:after="150"/>
      </w:pPr>
      <w:r>
        <w:rPr>
          <w:i/>
          <w:iCs/>
          <w:color w:val="595959"/>
          <w:sz w:val="18"/>
          <w:szCs w:val="18"/>
        </w:rPr>
        <w:t xml:space="preserve">Sources: CREDAI press releases &amp; knowledge-center reports; SKJ Landbase; Business News This Week.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2026-07-18T10:23:35.633Z</dcterms:created>
  <dcterms:modified xsi:type="dcterms:W3CDTF">2026-07-18T10:23:35.633Z</dcterms:modified>
</cp:coreProperties>
</file>

<file path=docProps/custom.xml><?xml version="1.0" encoding="utf-8"?>
<Properties xmlns="http://schemas.openxmlformats.org/officeDocument/2006/custom-properties" xmlns:vt="http://schemas.openxmlformats.org/officeDocument/2006/docPropsVTypes"/>
</file>