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2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Devanahalli–Hebbal corridor is emerging as one of North Bengaluru's most promising long-term growth regions, anchored by Kempegowda International Airport expansion, the under-construction Namma Metro Blue Line (Hebbal–Yelahanka–airport, due 2027) and the KIADB Aerospace Park.</w:t>
      </w:r>
    </w:p>
    <w:p>
      <w:pPr>
        <w:pStyle w:val="ListParagraph"/>
        <w:numPr>
          <w:ilvl w:val="0"/>
          <w:numId w:val="2"/>
        </w:numPr>
        <w:spacing w:after="80"/>
      </w:pPr>
      <w:r>
        <w:rPr>
          <w:b w:val="false"/>
          <w:bCs w:val="false"/>
        </w:rPr>
        <w:t xml:space="preserve">Branded-developer projects in Devanahalli average ₹11,350 per sq ft as of Q1 2026, ranging ₹8,500–13,000 per sq ft, while established Hebbal continues to command a premium as North Bengaluru's preferred luxury address for professionals and business leaders.</w:t>
      </w:r>
    </w:p>
    <w:p>
      <w:pPr>
        <w:pStyle w:val="ListParagraph"/>
        <w:numPr>
          <w:ilvl w:val="0"/>
          <w:numId w:val="2"/>
        </w:numPr>
        <w:spacing w:after="80"/>
      </w:pPr>
      <w:r>
        <w:rPr>
          <w:b w:val="false"/>
          <w:bCs w:val="false"/>
        </w:rPr>
        <w:t xml:space="preserve">Bellary Road, Thanisandra Road and Yelahanka are consolidating as North Bengaluru's GCC and office hub, with residential demand increasingly following the corridor's expanding aerospace, defence, electronics and manufacturing employment base.</w:t>
      </w:r>
    </w:p>
    <w:p>
      <w:pPr>
        <w:spacing w:after="150"/>
      </w:pPr>
      <w:r>
        <w:rPr>
          <w:i/>
          <w:iCs/>
          <w:color w:val="595959"/>
          <w:sz w:val="18"/>
          <w:szCs w:val="18"/>
        </w:rPr>
        <w:t xml:space="preserve">Sources: Mahindra Lifespaces/Sobha (Devanahalli–Hebbal outlook, pricing); RealtyConnect/NxtFootstep (North Bengaluru GCC hub, Devanahalli pricing range).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Airport City Limited (BACL) has begun construction of a 17.7-acre, 2-million-sq-ft business park near KIA designed specifically to house Global Capability Centres, reinforcing the airport corridor's shift toward large-format commercial development.</w:t>
      </w:r>
    </w:p>
    <w:p>
      <w:pPr>
        <w:pStyle w:val="ListParagraph"/>
        <w:numPr>
          <w:ilvl w:val="0"/>
          <w:numId w:val="2"/>
        </w:numPr>
        <w:spacing w:after="80"/>
      </w:pPr>
      <w:r>
        <w:rPr>
          <w:b w:val="false"/>
          <w:bCs w:val="false"/>
        </w:rPr>
        <w:t xml:space="preserve">The KIADB Aerospace Park continues to anchor North Bengaluru's industrial base, drawing aerospace, defence, electronics and engineering manufacturers and lifting demand for supporting logistics and ancillary industrial space nearby.</w:t>
      </w:r>
    </w:p>
    <w:p>
      <w:pPr>
        <w:pStyle w:val="ListParagraph"/>
        <w:numPr>
          <w:ilvl w:val="0"/>
          <w:numId w:val="2"/>
        </w:numPr>
        <w:spacing w:after="80"/>
      </w:pPr>
      <w:r>
        <w:rPr>
          <w:b w:val="false"/>
          <w:bCs w:val="false"/>
        </w:rPr>
        <w:t xml:space="preserve">Completion of the Blue Line metro connecting Hebbal, Yelahanka and the airport by 2027 is expected to further catalyse retail and commercial spillover demand along the corridor as construction progresses through 2026.</w:t>
      </w:r>
    </w:p>
    <w:p>
      <w:pPr>
        <w:spacing w:after="150"/>
      </w:pPr>
      <w:r>
        <w:rPr>
          <w:i/>
          <w:iCs/>
          <w:color w:val="595959"/>
          <w:sz w:val="18"/>
          <w:szCs w:val="18"/>
        </w:rPr>
        <w:t xml:space="preserve">Sources: Mahindra Lifespaces (BACL business park, KIADB Aerospace Park); NxtFootstep (North Bengaluru growth, metro timeline).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directed a Bengaluru Development Authority (BDA) housing project promoter to complete pending statutory RERA registration for Phases 1 and 2 within two weeks, after adjudicating a petition filed by an allottee challenging the registration delay.</w:t>
      </w:r>
    </w:p>
    <w:p>
      <w:pPr>
        <w:pStyle w:val="ListParagraph"/>
        <w:numPr>
          <w:ilvl w:val="0"/>
          <w:numId w:val="2"/>
        </w:numPr>
        <w:spacing w:after="80"/>
      </w:pPr>
      <w:r>
        <w:rPr>
          <w:b w:val="false"/>
          <w:bCs w:val="false"/>
        </w:rPr>
        <w:t xml:space="preserve">In a separate case, K-RERA ordered a Bengaluru-based developer to hand over a long-delayed villa and pay the buyer approximately ₹70 lakh in accumulated interest for the possession delay.</w:t>
      </w:r>
    </w:p>
    <w:p>
      <w:pPr>
        <w:pStyle w:val="ListParagraph"/>
        <w:numPr>
          <w:ilvl w:val="0"/>
          <w:numId w:val="2"/>
        </w:numPr>
        <w:spacing w:after="80"/>
      </w:pPr>
      <w:r>
        <w:rPr>
          <w:b w:val="false"/>
          <w:bCs w:val="false"/>
        </w:rPr>
        <w:t xml:space="preserve">These individual enforcement actions underscore K-RERA's continued case-by-case rigor even as North Bengaluru's Devanahalli–Hebbal corridor sees a fresh wave of new project launches tied to airport and metro expansion.</w:t>
      </w:r>
    </w:p>
    <w:p>
      <w:pPr>
        <w:spacing w:after="150"/>
      </w:pPr>
      <w:r>
        <w:rPr>
          <w:i/>
          <w:iCs/>
          <w:color w:val="595959"/>
          <w:sz w:val="18"/>
          <w:szCs w:val="18"/>
        </w:rPr>
        <w:t xml:space="preserve">Sources: Deccan Herald (K-RERA villa handover/compensation order); ABC Buildcon/PropNewz (K-RERA BDA project registration order).</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Kochi's residential market is projected to appreciate a further 10–15% through 2026 across flats, luxury villas and plots, with apartment prices ranging ₹6,000–12,000 per sq ft depending on locality, and rental yields up 6% on rising demand.</w:t>
      </w:r>
    </w:p>
    <w:p>
      <w:pPr>
        <w:pStyle w:val="ListParagraph"/>
        <w:numPr>
          <w:ilvl w:val="0"/>
          <w:numId w:val="2"/>
        </w:numPr>
        <w:spacing w:after="80"/>
      </w:pPr>
      <w:r>
        <w:rPr>
          <w:b w:val="false"/>
          <w:bCs w:val="false"/>
        </w:rPr>
        <w:t xml:space="preserve">Metro expansion and continued infrastructure upgrades are cited as the key drivers sustaining Kochi's capital-appreciation and rental momentum into 2026 and beyond, with tech-driven employment growth reinforcing long-term demand.</w:t>
      </w:r>
    </w:p>
    <w:p>
      <w:pPr>
        <w:pStyle w:val="ListParagraph"/>
        <w:numPr>
          <w:ilvl w:val="0"/>
          <w:numId w:val="2"/>
        </w:numPr>
        <w:spacing w:after="80"/>
      </w:pPr>
      <w:r>
        <w:rPr>
          <w:b w:val="false"/>
          <w:bCs w:val="false"/>
        </w:rPr>
        <w:t xml:space="preserve">Coimbatore has entered a strong growth phase in 2026, with independent villas in well-connected micro-markets like Veerakeralam among the fastest-growing residential segments, driven by lifestyle upgrades and infrastructure development.</w:t>
      </w:r>
    </w:p>
    <w:p>
      <w:pPr>
        <w:spacing w:after="150"/>
      </w:pPr>
      <w:r>
        <w:rPr>
          <w:i/>
          <w:iCs/>
          <w:color w:val="595959"/>
          <w:sz w:val="18"/>
          <w:szCs w:val="18"/>
        </w:rPr>
        <w:t xml:space="preserve">Sources: Gharpe/AbadBuilders/VarmaHomes (Kochi 2026 outlook, pricing, rental yields); Radiance Realty (Coimbatore 2026 trends, Veerakeralam villas).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Telangana's construction sector grew 11.97% in FY2024-25, contributing ₹80,000 crore to the state economy, Industries Minister Sridhar Babu noted at CREDAI Hyderabad's mid-August Property Show (15–17 August, HITEX).</w:t>
      </w:r>
    </w:p>
    <w:p>
      <w:pPr>
        <w:pStyle w:val="ListParagraph"/>
        <w:numPr>
          <w:ilvl w:val="0"/>
          <w:numId w:val="2"/>
        </w:numPr>
        <w:spacing w:after="80"/>
      </w:pPr>
      <w:r>
        <w:rPr>
          <w:b w:val="false"/>
          <w:bCs w:val="false"/>
        </w:rPr>
        <w:t xml:space="preserve">Tamil Nadu's Registration Department's annual guideline-value revision, effective from January 2026, pushed values higher in Chennai's fast-growing suburban corridors — OMR, ECR and GST Road — reflecting rapid infrastructure-linked appreciation in these zones.</w:t>
      </w:r>
    </w:p>
    <w:p>
      <w:pPr>
        <w:pStyle w:val="ListParagraph"/>
        <w:numPr>
          <w:ilvl w:val="0"/>
          <w:numId w:val="2"/>
        </w:numPr>
        <w:spacing w:after="80"/>
      </w:pPr>
      <w:r>
        <w:rPr>
          <w:b w:val="false"/>
          <w:bCs w:val="false"/>
        </w:rPr>
        <w:t xml:space="preserve">Kochi and Coimbatore's continued metro- and infrastructure-led growth points to broadening commercial and residential investment interest across South India beyond its traditional Bengaluru-Chennai-Hyderabad axis.</w:t>
      </w:r>
    </w:p>
    <w:p>
      <w:pPr>
        <w:spacing w:after="150"/>
      </w:pPr>
      <w:r>
        <w:rPr>
          <w:i/>
          <w:iCs/>
          <w:color w:val="595959"/>
          <w:sz w:val="18"/>
          <w:szCs w:val="18"/>
        </w:rPr>
        <w:t xml:space="preserve">Sources: Telangana Today (construction-sector growth data); Landeed/TNREGINET (TN guideline value revision); Gharpe/Radiance Realty.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Kerala's Local Self Government Department directed all Grama Panchayats, Municipalities and Municipal Corporations on 15 August 2026 to share details of ongoing real estate projects with Kerala RERA by email, tightening local-body coordination on project compliance statewide.</w:t>
      </w:r>
    </w:p>
    <w:p>
      <w:pPr>
        <w:pStyle w:val="ListParagraph"/>
        <w:numPr>
          <w:ilvl w:val="0"/>
          <w:numId w:val="2"/>
        </w:numPr>
        <w:spacing w:after="80"/>
      </w:pPr>
      <w:r>
        <w:rPr>
          <w:b w:val="false"/>
          <w:bCs w:val="false"/>
        </w:rPr>
        <w:t xml:space="preserve">TGRERA fined a Hyderabad developer ₹12 lakh and ordered completion and handover of a delayed villa to a complainant, adding to the regulator's record of buyer-side enforcement even as Telangana's construction sector posts double-digit growth.</w:t>
      </w:r>
    </w:p>
    <w:p>
      <w:pPr>
        <w:pStyle w:val="ListParagraph"/>
        <w:numPr>
          <w:ilvl w:val="0"/>
          <w:numId w:val="2"/>
        </w:numPr>
        <w:spacing w:after="80"/>
      </w:pPr>
      <w:r>
        <w:rPr>
          <w:b w:val="false"/>
          <w:bCs w:val="false"/>
        </w:rPr>
        <w:t xml:space="preserve">Chennai's higher suburban guideline values (OMR, ECR, GST Road) are expected to keep Tamil Nadu CREDAI members focused on registration-cost impacts even as the state's residential demand remains resilient.</w:t>
      </w:r>
    </w:p>
    <w:p>
      <w:pPr>
        <w:spacing w:after="150"/>
      </w:pPr>
      <w:r>
        <w:rPr>
          <w:i/>
          <w:iCs/>
          <w:color w:val="595959"/>
          <w:sz w:val="18"/>
          <w:szCs w:val="18"/>
        </w:rPr>
        <w:t xml:space="preserve">Sources: LSGD Kerala (Kerala RERA project-data directive); Westside Realty (TGRERA fine/order); Landeed/TNREGINET.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Godrej Properties posted a record Q1 FY27 booking value of ₹8,651 crore (up 22% YoY) on sales of 3,738 units spanning 6.2 million sq ft, even as consolidated net profit fell 42% YoY to ₹349 crore on rising input-cost pressures.</w:t>
      </w:r>
    </w:p>
    <w:p>
      <w:pPr>
        <w:pStyle w:val="ListParagraph"/>
        <w:numPr>
          <w:ilvl w:val="0"/>
          <w:numId w:val="2"/>
        </w:numPr>
        <w:spacing w:after="80"/>
      </w:pPr>
      <w:r>
        <w:rPr>
          <w:b w:val="false"/>
          <w:bCs w:val="false"/>
        </w:rPr>
        <w:t xml:space="preserve">The company added 3 new projects worth an estimated ₹9,500 crore in potential bookings during the quarter — including Godrej Vanantara (₹3,237 crore) and Godrej Samaris (₹1,248 crore) — achieving 48% of its full-year business-development target.</w:t>
      </w:r>
    </w:p>
    <w:p>
      <w:pPr>
        <w:pStyle w:val="ListParagraph"/>
        <w:numPr>
          <w:ilvl w:val="0"/>
          <w:numId w:val="2"/>
        </w:numPr>
        <w:spacing w:after="80"/>
      </w:pPr>
      <w:r>
        <w:rPr>
          <w:b w:val="false"/>
          <w:bCs w:val="false"/>
        </w:rPr>
        <w:t xml:space="preserve">Godrej Properties was named the only Indian real estate company on TIME's World's Most Sustainable Companies 2026 list, even as the sharp profit decline underscores broader margin pressure across listed developers this earnings season.</w:t>
      </w:r>
    </w:p>
    <w:p>
      <w:pPr>
        <w:spacing w:after="150"/>
      </w:pPr>
      <w:r>
        <w:rPr>
          <w:i/>
          <w:iCs/>
          <w:color w:val="595959"/>
          <w:sz w:val="18"/>
          <w:szCs w:val="18"/>
        </w:rPr>
        <w:t xml:space="preserve">Sources: Business Standard/InvestyWise (Godrej Properties Q1 FY27 results, bookings, new project additions).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JLL estimates construction costs will rise 3–5% across all asset classes nationally in 2026, with industry leaders citing the ongoing West Asia conflict as a growing contributor to input-cost inflation across India's real estate sector.</w:t>
      </w:r>
    </w:p>
    <w:p>
      <w:pPr>
        <w:pStyle w:val="ListParagraph"/>
        <w:numPr>
          <w:ilvl w:val="0"/>
          <w:numId w:val="2"/>
        </w:numPr>
        <w:spacing w:after="80"/>
      </w:pPr>
      <w:r>
        <w:rPr>
          <w:b w:val="false"/>
          <w:bCs w:val="false"/>
        </w:rPr>
        <w:t xml:space="preserve">Godrej Properties' board approved amalgamating Godrej Housing Projects Private Limited into the parent company on 4 August 2026, a corporate restructuring aimed at optimising resources and cutting administrative overheads.</w:t>
      </w:r>
    </w:p>
    <w:p>
      <w:pPr>
        <w:pStyle w:val="ListParagraph"/>
        <w:numPr>
          <w:ilvl w:val="0"/>
          <w:numId w:val="2"/>
        </w:numPr>
        <w:spacing w:after="80"/>
      </w:pPr>
      <w:r>
        <w:rPr>
          <w:b w:val="false"/>
          <w:bCs w:val="false"/>
        </w:rPr>
        <w:t xml:space="preserve">Airport- and GCC-linked infrastructure investment — echoing Bengaluru's new BACL business park — reflects a broader national pattern of large developers and public agencies co-investing in employment-anchored commercial growth corridors.</w:t>
      </w:r>
    </w:p>
    <w:p>
      <w:pPr>
        <w:spacing w:after="150"/>
      </w:pPr>
      <w:r>
        <w:rPr>
          <w:i/>
          <w:iCs/>
          <w:color w:val="595959"/>
          <w:sz w:val="18"/>
          <w:szCs w:val="18"/>
        </w:rPr>
        <w:t xml:space="preserve">Sources: Business Standard (JLL construction cost forecast, Godrej Properties amalgamation); Mahindra Lifespaces.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have welcomed the Centre's advisory granting a four-month completion extension, under RERA's force-majeure provisions, to projects with deadlines on or after 28 February 2026 that were delayed by West Asia-linked material shortages.</w:t>
      </w:r>
    </w:p>
    <w:p>
      <w:pPr>
        <w:pStyle w:val="ListParagraph"/>
        <w:numPr>
          <w:ilvl w:val="0"/>
          <w:numId w:val="2"/>
        </w:numPr>
        <w:spacing w:after="80"/>
      </w:pPr>
      <w:r>
        <w:rPr>
          <w:b w:val="false"/>
          <w:bCs w:val="false"/>
        </w:rPr>
        <w:t xml:space="preserve">Kerala's LSGD directive tightening local-body coordination with Kerala RERA and Karnataka's continued individual-case enforcement (BDA registration order, villa handover ruling) illustrate the increasingly granular, locally-driven nature of RERA compliance nationally.</w:t>
      </w:r>
    </w:p>
    <w:p>
      <w:pPr>
        <w:pStyle w:val="ListParagraph"/>
        <w:numPr>
          <w:ilvl w:val="0"/>
          <w:numId w:val="2"/>
        </w:numPr>
        <w:spacing w:after="80"/>
      </w:pPr>
      <w:r>
        <w:rPr>
          <w:b w:val="false"/>
          <w:bCs w:val="false"/>
        </w:rPr>
        <w:t xml:space="preserve">Rising national construction costs (3–5% in 2026, per JLL) are likely to feature prominently in industry bodies' ongoing dialogue with regulators over realistic project-completion timelines and further RERA extension requests.</w:t>
      </w:r>
    </w:p>
    <w:p>
      <w:pPr>
        <w:spacing w:after="150"/>
      </w:pPr>
      <w:r>
        <w:rPr>
          <w:i/>
          <w:iCs/>
          <w:color w:val="595959"/>
          <w:sz w:val="18"/>
          <w:szCs w:val="18"/>
        </w:rPr>
        <w:t xml:space="preserve">Sources: PropNewsTime (CREDAI/NAREDCO RERA extension advisory); LSGD Kerala; Deccan Herald; Business Standard.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2026-09-02T03:41:05.452Z</dcterms:created>
  <dcterms:modified xsi:type="dcterms:W3CDTF">2026-09-02T03:41:05.468Z</dcterms:modified>
</cp:coreProperties>
</file>

<file path=docProps/custom.xml><?xml version="1.0" encoding="utf-8"?>
<Properties xmlns="http://schemas.openxmlformats.org/officeDocument/2006/custom-properties" xmlns:vt="http://schemas.openxmlformats.org/officeDocument/2006/docPropsVTypes"/>
</file>