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Tuesday, 29 September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Rajarajeshwari Nagar (RR Nagar), on the ORR West/Magadi Road belt where Bengaluru Metro Phase 3's corridor alignment passes, is projected to average ₹7,300 per sq ft in 2026.</w:t>
      </w:r>
    </w:p>
    <w:p>
      <w:pPr>
        <w:pStyle w:val="ListParagraph"/>
        <w:numPr>
          <w:ilvl w:val="0"/>
          <w:numId w:val="2"/>
        </w:numPr>
        <w:spacing w:after="80"/>
      </w:pPr>
      <w:r>
        <w:rPr>
          <w:b w:val="false"/>
          <w:bCs w:val="false"/>
        </w:rPr>
        <w:t xml:space="preserve">Godrej Properties has launched a residential project in Vidyaranyapura, adding an established-brand presence to this North-West Bengaluru micro-market.</w:t>
      </w:r>
    </w:p>
    <w:p>
      <w:pPr>
        <w:pStyle w:val="ListParagraph"/>
        <w:numPr>
          <w:ilvl w:val="0"/>
          <w:numId w:val="2"/>
        </w:numPr>
        <w:spacing w:after="80"/>
      </w:pPr>
      <w:r>
        <w:rPr>
          <w:b w:val="false"/>
          <w:bCs w:val="false"/>
        </w:rPr>
        <w:t xml:space="preserve">Peenya, part of a machine-tool industrial cluster alongside Abbigere and Bommasandra, continues to see residential plots and apartments priced from ₹32 lakh upward, reflecting its industrial-adjacent housing demand base.</w:t>
      </w:r>
    </w:p>
    <w:p>
      <w:pPr>
        <w:spacing w:after="150"/>
      </w:pPr>
      <w:r>
        <w:rPr>
          <w:i/>
          <w:iCs/>
          <w:color w:val="595959"/>
          <w:sz w:val="18"/>
          <w:szCs w:val="18"/>
        </w:rPr>
        <w:t xml:space="preserve">Sources: NoBroker/Anarock (RR Nagar pricing, Phase 3 corridor); Wikipedia (Godrej Vidyaranyapura project); 99acres (Peenya residential pricing).</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Birla Estates, which entered Bengaluru in 2023-24, continues to launch at a measured pace with strong emphasis on RERA compliance and documentation transparency, reflecting a cautious, quality-first entry strategy into the market.</w:t>
      </w:r>
    </w:p>
    <w:p>
      <w:pPr>
        <w:pStyle w:val="ListParagraph"/>
        <w:numPr>
          <w:ilvl w:val="0"/>
          <w:numId w:val="2"/>
        </w:numPr>
        <w:spacing w:after="80"/>
      </w:pPr>
      <w:r>
        <w:rPr>
          <w:b w:val="false"/>
          <w:bCs w:val="false"/>
        </w:rPr>
        <w:t xml:space="preserve">Peenya's continued positioning as a core machine-tool and light-industrial cluster is sustaining demand for industrial and warehousing space in North-West Bengaluru.</w:t>
      </w:r>
    </w:p>
    <w:p>
      <w:pPr>
        <w:pStyle w:val="ListParagraph"/>
        <w:numPr>
          <w:ilvl w:val="0"/>
          <w:numId w:val="2"/>
        </w:numPr>
        <w:spacing w:after="80"/>
      </w:pPr>
      <w:r>
        <w:rPr>
          <w:b w:val="false"/>
          <w:bCs w:val="false"/>
        </w:rPr>
        <w:t xml:space="preserve">RR Nagar's Phase 3 metro corridor alignment is expected to gradually improve commercial and retail viability along the Magadi Road belt once construction progresses.</w:t>
      </w:r>
    </w:p>
    <w:p>
      <w:pPr>
        <w:spacing w:after="150"/>
      </w:pPr>
      <w:r>
        <w:rPr>
          <w:i/>
          <w:iCs/>
          <w:color w:val="595959"/>
          <w:sz w:val="18"/>
          <w:szCs w:val="18"/>
        </w:rPr>
        <w:t xml:space="preserve">Sources: Birla Ojasvi/NoBroker (Birla Estates entry strategy); 99acres (Peenya industrial cluster); Anarock (RR Nagar Phase 3 corridor).</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K-RERA ordered Bengaluru-based developer Total Environment Building Systems Ltd, in a ruling dated 11 March 2026, to execute the sale deed and pay nearly ₹70 lakh in interest to Byatarayanapura buyers for a roughly two-year handover delay.</w:t>
      </w:r>
    </w:p>
    <w:p>
      <w:pPr>
        <w:pStyle w:val="ListParagraph"/>
        <w:numPr>
          <w:ilvl w:val="0"/>
          <w:numId w:val="2"/>
        </w:numPr>
        <w:spacing w:after="80"/>
      </w:pPr>
      <w:r>
        <w:rPr>
          <w:b w:val="false"/>
          <w:bCs w:val="false"/>
        </w:rPr>
        <w:t xml:space="preserve">Karnataka RERA has rejected 45 residential project applications to date, reflecting continued regulatory scrutiny of project registrations statewide.</w:t>
      </w:r>
    </w:p>
    <w:p>
      <w:pPr>
        <w:pStyle w:val="ListParagraph"/>
        <w:numPr>
          <w:ilvl w:val="0"/>
          <w:numId w:val="2"/>
        </w:numPr>
        <w:spacing w:after="80"/>
      </w:pPr>
      <w:r>
        <w:rPr>
          <w:b w:val="false"/>
          <w:bCs w:val="false"/>
        </w:rPr>
        <w:t xml:space="preserve">CREDAI Karnataka is likely to view Birla Estates' compliance-first entry strategy as a model other new entrants may be encouraged to follow amid K-RERA's active enforcement stance.</w:t>
      </w:r>
    </w:p>
    <w:p>
      <w:pPr>
        <w:spacing w:after="150"/>
      </w:pPr>
      <w:r>
        <w:rPr>
          <w:i/>
          <w:iCs/>
          <w:color w:val="595959"/>
          <w:sz w:val="18"/>
          <w:szCs w:val="18"/>
        </w:rPr>
        <w:t xml:space="preserve">Sources: Deccan Herald (Total Environment Building Systems K-RERA order); 99acres/RERA News (K-RERA project rejections).</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Trivandrum's real estate market is gaining momentum from the Vizhinjam International Seaport — now handling commercial container traffic — alongside Technopark and Technocity expansion, upcoming metro plans and NH66 upgrades.</w:t>
      </w:r>
    </w:p>
    <w:p>
      <w:pPr>
        <w:pStyle w:val="ListParagraph"/>
        <w:numPr>
          <w:ilvl w:val="0"/>
          <w:numId w:val="2"/>
        </w:numPr>
        <w:spacing w:after="80"/>
      </w:pPr>
      <w:r>
        <w:rPr>
          <w:b w:val="false"/>
          <w:bCs w:val="false"/>
        </w:rPr>
        <w:t xml:space="preserve">Kochi recorded an 11-13% YoY rise in high-end residential projects across MG Road, Marine Drive, Panampilly Nagar, Edappally and Palarivattom, per Cushman &amp; Wakefield's Market Beat report.</w:t>
      </w:r>
    </w:p>
    <w:p>
      <w:pPr>
        <w:pStyle w:val="ListParagraph"/>
        <w:numPr>
          <w:ilvl w:val="0"/>
          <w:numId w:val="2"/>
        </w:numPr>
        <w:spacing w:after="80"/>
      </w:pPr>
      <w:r>
        <w:rPr>
          <w:b w:val="false"/>
          <w:bCs w:val="false"/>
        </w:rPr>
        <w:t xml:space="preserve">Kerala's KFON fibre-optic network is providing high-bandwidth broadband connectivity across Trivandrum, reinforcing the city's appeal for tech-linked residential demand.</w:t>
      </w:r>
    </w:p>
    <w:p>
      <w:pPr>
        <w:spacing w:after="150"/>
      </w:pPr>
      <w:r>
        <w:rPr>
          <w:i/>
          <w:iCs/>
          <w:color w:val="595959"/>
          <w:sz w:val="18"/>
          <w:szCs w:val="18"/>
        </w:rPr>
        <w:t xml:space="preserve">Sources: Sobha (Trivandrum 2026 growth drivers, Vizhinjam Seaport); Cushman &amp; Wakefield via Sobha (Kochi high-end project pricing); Sobha (KFON connectivity).</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Kochi remains Kerala's most dynamic commercial market, with growth fuelled by Infopark expansion, SEZ developments, Metro connectivity and the Water Metro network.</w:t>
      </w:r>
    </w:p>
    <w:p>
      <w:pPr>
        <w:pStyle w:val="ListParagraph"/>
        <w:numPr>
          <w:ilvl w:val="0"/>
          <w:numId w:val="2"/>
        </w:numPr>
        <w:spacing w:after="80"/>
      </w:pPr>
      <w:r>
        <w:rPr>
          <w:b w:val="false"/>
          <w:bCs w:val="false"/>
        </w:rPr>
        <w:t xml:space="preserve">Kochi's Lulu IT Twin Towers, a ₹1,500 crore project, and Trivandrum's new 'Freedom Square' at Technopark Phase IV reflect continued large-format commercial and IT-infrastructure investment across Kerala's two leading cities.</w:t>
      </w:r>
    </w:p>
    <w:p>
      <w:pPr>
        <w:pStyle w:val="ListParagraph"/>
        <w:numPr>
          <w:ilvl w:val="0"/>
          <w:numId w:val="2"/>
        </w:numPr>
        <w:spacing w:after="80"/>
      </w:pPr>
      <w:r>
        <w:rPr>
          <w:b w:val="false"/>
          <w:bCs w:val="false"/>
        </w:rPr>
        <w:t xml:space="preserve">The NH Bypass connecting Trivandrum's airport to the city's northern suburbs has been improved, reinforcing commercial and logistics connectivity alongside the Vizhinjam Seaport's container-handling ramp-up.</w:t>
      </w:r>
    </w:p>
    <w:p>
      <w:pPr>
        <w:spacing w:after="150"/>
      </w:pPr>
      <w:r>
        <w:rPr>
          <w:i/>
          <w:iCs/>
          <w:color w:val="595959"/>
          <w:sz w:val="18"/>
          <w:szCs w:val="18"/>
        </w:rPr>
        <w:t xml:space="preserve">Sources: Sobha (Kochi commercial market drivers, Lulu IT Twin Towers, Freedom Square, NH Bypass upgrade).</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Kerala is likely to view Kochi's 11-13% YoY rise in high-end project pricing as a signal of sustained premium demand even as the state pushes broader mid-income housing growth.</w:t>
      </w:r>
    </w:p>
    <w:p>
      <w:pPr>
        <w:pStyle w:val="ListParagraph"/>
        <w:numPr>
          <w:ilvl w:val="0"/>
          <w:numId w:val="2"/>
        </w:numPr>
        <w:spacing w:after="80"/>
      </w:pPr>
      <w:r>
        <w:rPr>
          <w:b w:val="false"/>
          <w:bCs w:val="false"/>
        </w:rPr>
        <w:t xml:space="preserve">Continued large-format investment — Lulu IT Twin Towers, Freedom Square at Technopark Phase IV — gives CREDAI Kerala a fresh benchmark for coordinating registration alongside major IT-infrastructure launches.</w:t>
      </w:r>
    </w:p>
    <w:p>
      <w:pPr>
        <w:pStyle w:val="ListParagraph"/>
        <w:numPr>
          <w:ilvl w:val="0"/>
          <w:numId w:val="2"/>
        </w:numPr>
        <w:spacing w:after="80"/>
      </w:pPr>
      <w:r>
        <w:rPr>
          <w:b w:val="false"/>
          <w:bCs w:val="false"/>
        </w:rPr>
        <w:t xml:space="preserve">Trivandrum's Vizhinjam Seaport ramp-up and NH66 upgrades are expected to keep Kerala's RERA authority focused on aligning residential and logistics-linked commercial project approvals along the state's southern coastal corridor.</w:t>
      </w:r>
    </w:p>
    <w:p>
      <w:pPr>
        <w:spacing w:after="150"/>
      </w:pPr>
      <w:r>
        <w:rPr>
          <w:i/>
          <w:iCs/>
          <w:color w:val="595959"/>
          <w:sz w:val="18"/>
          <w:szCs w:val="18"/>
        </w:rPr>
        <w:t xml:space="preserve">Sources: Sobha; Cushman &amp; Wakefield via Sobha.</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Co-living demand and stock stood at an estimated 6.6 million and 0.3 million beds respectively in 2025, with penetration expected to rise from 5% to over 10% by 2030 as urbanisation and migration among students and young professionals accelerate.</w:t>
      </w:r>
    </w:p>
    <w:p>
      <w:pPr>
        <w:pStyle w:val="ListParagraph"/>
        <w:numPr>
          <w:ilvl w:val="0"/>
          <w:numId w:val="2"/>
        </w:numPr>
        <w:spacing w:after="80"/>
      </w:pPr>
      <w:r>
        <w:rPr>
          <w:b w:val="false"/>
          <w:bCs w:val="false"/>
        </w:rPr>
        <w:t xml:space="preserve">Education-driven interstate migration accounts for roughly 15-17% of total migration nationally, pointing to potential student-housing demand exceeding 12 million beds by 2035.</w:t>
      </w:r>
    </w:p>
    <w:p>
      <w:pPr>
        <w:pStyle w:val="ListParagraph"/>
        <w:numPr>
          <w:ilvl w:val="0"/>
          <w:numId w:val="2"/>
        </w:numPr>
        <w:spacing w:after="80"/>
      </w:pPr>
      <w:r>
        <w:rPr>
          <w:b w:val="false"/>
          <w:bCs w:val="false"/>
        </w:rPr>
        <w:t xml:space="preserve">Rising demographic mobility and demand for professionally managed housing are expected to continue supporting institutional investment in co-living, senior housing and student accommodation nationally.</w:t>
      </w:r>
    </w:p>
    <w:p>
      <w:pPr>
        <w:spacing w:after="150"/>
      </w:pPr>
      <w:r>
        <w:rPr>
          <w:i/>
          <w:iCs/>
          <w:color w:val="595959"/>
          <w:sz w:val="18"/>
          <w:szCs w:val="18"/>
        </w:rPr>
        <w:t xml:space="preserve">Sources: Colliers/The Hawk (co-living demand and stock projections); Newkerala (student-housing migration and demand outlook).</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Flexible workspaces are expected to account for nearly 20% of India's Grade-A office leasing in 2026, with flex stock projected to reach 85-90 million sq ft, driven by hybrid work models and cost optimisation.</w:t>
      </w:r>
    </w:p>
    <w:p>
      <w:pPr>
        <w:pStyle w:val="ListParagraph"/>
        <w:numPr>
          <w:ilvl w:val="0"/>
          <w:numId w:val="2"/>
        </w:numPr>
        <w:spacing w:after="80"/>
      </w:pPr>
      <w:r>
        <w:rPr>
          <w:b w:val="false"/>
          <w:bCs w:val="false"/>
        </w:rPr>
        <w:t xml:space="preserve">GCCs are set to contribute 40-45% of total enterprise flex-space demand of roughly 200,000 seats nationally, prioritising scalable, customisable workplace formats.</w:t>
      </w:r>
    </w:p>
    <w:p>
      <w:pPr>
        <w:pStyle w:val="ListParagraph"/>
        <w:numPr>
          <w:ilvl w:val="0"/>
          <w:numId w:val="2"/>
        </w:numPr>
        <w:spacing w:after="80"/>
      </w:pPr>
      <w:r>
        <w:rPr>
          <w:b w:val="false"/>
          <w:bCs w:val="false"/>
        </w:rPr>
        <w:t xml:space="preserve">CBRE's "Flex-plosion" report, released in March 2026 in collaboration with FICCI, underscores the structural shift toward flexible and managed office formats across India's major commercial markets.</w:t>
      </w:r>
    </w:p>
    <w:p>
      <w:pPr>
        <w:spacing w:after="150"/>
      </w:pPr>
      <w:r>
        <w:rPr>
          <w:i/>
          <w:iCs/>
          <w:color w:val="595959"/>
          <w:sz w:val="18"/>
          <w:szCs w:val="18"/>
        </w:rPr>
        <w:t xml:space="preserve">Sources: CBRE (Flex-plosion report, flex-stock projections, GCC flex demand share).</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 and NAREDCO are likely to welcome the rapid institutionalisation of co-living, student housing and flexible workspace segments as evidence of the sector's continued diversification beyond traditional residential and office assets.</w:t>
      </w:r>
    </w:p>
    <w:p>
      <w:pPr>
        <w:pStyle w:val="ListParagraph"/>
        <w:numPr>
          <w:ilvl w:val="0"/>
          <w:numId w:val="2"/>
        </w:numPr>
        <w:spacing w:after="80"/>
      </w:pPr>
      <w:r>
        <w:rPr>
          <w:b w:val="false"/>
          <w:bCs w:val="false"/>
        </w:rPr>
        <w:t xml:space="preserve">The projected rise in flex-space and co-living penetration by 2030 is expected to keep CREDAI focused on updating registration and compliance frameworks for these emerging, professionally managed asset classes.</w:t>
      </w:r>
    </w:p>
    <w:p>
      <w:pPr>
        <w:pStyle w:val="ListParagraph"/>
        <w:numPr>
          <w:ilvl w:val="0"/>
          <w:numId w:val="2"/>
        </w:numPr>
        <w:spacing w:after="80"/>
      </w:pPr>
      <w:r>
        <w:rPr>
          <w:b w:val="false"/>
          <w:bCs w:val="false"/>
        </w:rPr>
        <w:t xml:space="preserve">Continued institutional investment across alternative asset classes nationally reinforces CREDAI and NAREDCO's broader case for deeper capital-market integration across India's real estate sector.</w:t>
      </w:r>
    </w:p>
    <w:p>
      <w:pPr>
        <w:spacing w:after="150"/>
      </w:pPr>
      <w:r>
        <w:rPr>
          <w:i/>
          <w:iCs/>
          <w:color w:val="595959"/>
          <w:sz w:val="18"/>
          <w:szCs w:val="18"/>
        </w:rPr>
        <w:t xml:space="preserve">Sources: CBRE; Colliers/The Hawk.</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2026-09-29T03:38:03.761Z</dcterms:created>
  <dcterms:modified xsi:type="dcterms:W3CDTF">2026-09-29T03:38:03.772Z</dcterms:modified>
</cp:coreProperties>
</file>

<file path=docProps/custom.xml><?xml version="1.0" encoding="utf-8"?>
<Properties xmlns="http://schemas.openxmlformats.org/officeDocument/2006/custom-properties" xmlns:vt="http://schemas.openxmlformats.org/officeDocument/2006/docPropsVTypes"/>
</file>