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23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average residential price has climbed from ₹10,950 per sq ft in September 2025 to ₹12,400 per sq ft by June 2026, with East Bengaluru now commanding the city's highest asking price at ₹13,750 per sq ft, up 3.3% recently.</w:t>
      </w:r>
    </w:p>
    <w:p>
      <w:pPr>
        <w:pStyle w:val="ListParagraph"/>
        <w:numPr>
          <w:ilvl w:val="0"/>
          <w:numId w:val="2"/>
        </w:numPr>
        <w:spacing w:after="80"/>
      </w:pPr>
      <w:r>
        <w:rPr>
          <w:b w:val="false"/>
          <w:bCs w:val="false"/>
        </w:rPr>
        <w:t xml:space="preserve">Kanakapura Road has emerged as a standout investment hotspot, with rates spanning ₹7,000-14,000 per sq ft and rentals reaching up to ₹35,000 per month, aided by improving metro access along the corridor.</w:t>
      </w:r>
    </w:p>
    <w:p>
      <w:pPr>
        <w:pStyle w:val="ListParagraph"/>
        <w:numPr>
          <w:ilvl w:val="0"/>
          <w:numId w:val="2"/>
        </w:numPr>
        <w:spacing w:after="80"/>
      </w:pPr>
      <w:r>
        <w:rPr>
          <w:b w:val="false"/>
          <w:bCs w:val="false"/>
        </w:rPr>
        <w:t xml:space="preserve">Bengaluru is projected to see a further 10-12% rise in residential prices through 2026, driven by sustained end-user demand, ongoing infrastructure expansion and limited fresh supply in key micro-markets.</w:t>
      </w:r>
    </w:p>
    <w:p>
      <w:pPr>
        <w:spacing w:after="150"/>
      </w:pPr>
      <w:r>
        <w:rPr>
          <w:i/>
          <w:iCs/>
          <w:color w:val="595959"/>
          <w:sz w:val="18"/>
          <w:szCs w:val="18"/>
        </w:rPr>
        <w:t xml:space="preserve">Sources: SquareYards (Bengaluru September 2026 price data); OneCityProperty (Bengaluru 2026 outlook, Kanakapura Road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Residential rents across Bengaluru are projected to grow 7-10% in 2026, comfortably outpacing inflation, with the city's strong employment base among the biggest beneficiaries of this rental upcycle nationally.</w:t>
      </w:r>
    </w:p>
    <w:p>
      <w:pPr>
        <w:pStyle w:val="ListParagraph"/>
        <w:numPr>
          <w:ilvl w:val="0"/>
          <w:numId w:val="2"/>
        </w:numPr>
        <w:spacing w:after="80"/>
      </w:pPr>
      <w:r>
        <w:rPr>
          <w:b w:val="false"/>
          <w:bCs w:val="false"/>
        </w:rPr>
        <w:t xml:space="preserve">The Greater Bengaluru Authority's revised setback rules, notified under the Karnataka Town and Country Planning Act and effective 5 January 2026, reduce mandatory setbacks and standardise zoning, FSI and height norms across BBMP and BDA layouts alike.</w:t>
      </w:r>
    </w:p>
    <w:p>
      <w:pPr>
        <w:pStyle w:val="ListParagraph"/>
        <w:numPr>
          <w:ilvl w:val="0"/>
          <w:numId w:val="2"/>
        </w:numPr>
        <w:spacing w:after="80"/>
      </w:pPr>
      <w:r>
        <w:rPr>
          <w:b w:val="false"/>
          <w:bCs w:val="false"/>
        </w:rPr>
        <w:t xml:space="preserve">For BDA layouts not yet transferred to BBMP, the BDA continues to issue construction approvals directly, even as GBA's unified zoning framework increasingly harmonises rules across Greater Bengaluru's metropolitan region.</w:t>
      </w:r>
    </w:p>
    <w:p>
      <w:pPr>
        <w:spacing w:after="150"/>
      </w:pPr>
      <w:r>
        <w:rPr>
          <w:i/>
          <w:iCs/>
          <w:color w:val="595959"/>
          <w:sz w:val="18"/>
          <w:szCs w:val="18"/>
        </w:rPr>
        <w:t xml:space="preserve">Sources: Proppy AI (Bengaluru 2026 rental growth); Indecimal/StudioMatrx (GBA setback rules, BDA approval jurisdiction).</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 RERA continued rolling out new digital tools and automated complaint-redressal mechanisms through 2026, aimed at streamlining grievance processing and improving buyer transparency statewide.</w:t>
      </w:r>
    </w:p>
    <w:p>
      <w:pPr>
        <w:pStyle w:val="ListParagraph"/>
        <w:numPr>
          <w:ilvl w:val="0"/>
          <w:numId w:val="2"/>
        </w:numPr>
        <w:spacing w:after="80"/>
      </w:pPr>
      <w:r>
        <w:rPr>
          <w:b w:val="false"/>
          <w:bCs w:val="false"/>
        </w:rPr>
        <w:t xml:space="preserve">CREDAI Karnataka, led by president Bhaskar T. Nagendrappa, continues to position itself as a key channel between developers, policymakers and financiers on Bengaluru's housing and habitat priorities.</w:t>
      </w:r>
    </w:p>
    <w:p>
      <w:pPr>
        <w:pStyle w:val="ListParagraph"/>
        <w:numPr>
          <w:ilvl w:val="0"/>
          <w:numId w:val="2"/>
        </w:numPr>
        <w:spacing w:after="80"/>
      </w:pPr>
      <w:r>
        <w:rPr>
          <w:b w:val="false"/>
          <w:bCs w:val="false"/>
        </w:rPr>
        <w:t xml:space="preserve">The GBA's newly standardised setback and zoning rules are expected to simplify K-RERA's project-approval scrutiny by removing the earlier inconsistencies between BBMP and BDA jurisdictions.</w:t>
      </w:r>
    </w:p>
    <w:p>
      <w:pPr>
        <w:spacing w:after="150"/>
      </w:pPr>
      <w:r>
        <w:rPr>
          <w:i/>
          <w:iCs/>
          <w:color w:val="595959"/>
          <w:sz w:val="18"/>
          <w:szCs w:val="18"/>
        </w:rPr>
        <w:t xml:space="preserve">Sources: CREDAI Karnataka; Indecimal/StudioMatrx (GBA rule standardisation).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Bengaluru and Chennai together posted a 47% rise in residential sales during the July-September quarter, with combined volumes across the three cities reaching 38,644 units.</w:t>
      </w:r>
    </w:p>
    <w:p>
      <w:pPr>
        <w:pStyle w:val="ListParagraph"/>
        <w:numPr>
          <w:ilvl w:val="0"/>
          <w:numId w:val="2"/>
        </w:numPr>
        <w:spacing w:after="80"/>
      </w:pPr>
      <w:r>
        <w:rPr>
          <w:b w:val="false"/>
          <w:bCs w:val="false"/>
        </w:rPr>
        <w:t xml:space="preserve">Chennai's housing sales more than doubled to 7,862 units during the July-September period, up from 3,560 units a year earlier, marking one of the sharpest quarterly recoveries among South India's major markets.</w:t>
      </w:r>
    </w:p>
    <w:p>
      <w:pPr>
        <w:pStyle w:val="ListParagraph"/>
        <w:numPr>
          <w:ilvl w:val="0"/>
          <w:numId w:val="2"/>
        </w:numPr>
        <w:spacing w:after="80"/>
      </w:pPr>
      <w:r>
        <w:rPr>
          <w:b w:val="false"/>
          <w:bCs w:val="false"/>
        </w:rPr>
        <w:t xml:space="preserve">Hyderabad's HMDA conducted e-auctions on 9 September 2026 for prime Kokapet-region plots: a 0.70-acre Golden Mile Site-1 parcel drew the top bid of ₹115 crore per acre against a ₹70 crore upset price, while a 4.59-acre Neopolis Layout plot fetched a single bid of ₹120 crore per acre.</w:t>
      </w:r>
    </w:p>
    <w:p>
      <w:pPr>
        <w:spacing w:after="150"/>
      </w:pPr>
      <w:r>
        <w:rPr>
          <w:i/>
          <w:iCs/>
          <w:color w:val="595959"/>
          <w:sz w:val="18"/>
          <w:szCs w:val="18"/>
        </w:rPr>
        <w:t xml:space="preserve">Sources: Business Standard (Hyderabad-Bengaluru-Chennai Q3 sales surge, Chennai volume doubling); Telangana Today/Gulte (HMDA Kokapet e-auction results, 9 September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Both auctioned Kokapet parcels sit in Gandipet mandal with direct connectivity to the Outer Ring Road, Financial District, Gachibowli and HITEC City, reinforcing sustained institutional appetite for Hyderabad's premium office-adjacent land.</w:t>
      </w:r>
    </w:p>
    <w:p>
      <w:pPr>
        <w:pStyle w:val="ListParagraph"/>
        <w:numPr>
          <w:ilvl w:val="0"/>
          <w:numId w:val="2"/>
        </w:numPr>
        <w:spacing w:after="80"/>
      </w:pPr>
      <w:r>
        <w:rPr>
          <w:b w:val="false"/>
          <w:bCs w:val="false"/>
        </w:rPr>
        <w:t xml:space="preserve">HMDA is preparing a further mega land auction expected to raise ₹3,000-5,000 crore, with pre-bid meetings for Neopolis Phase-III and additional Golden Mile parcels already drawing top developers.</w:t>
      </w:r>
    </w:p>
    <w:p>
      <w:pPr>
        <w:pStyle w:val="ListParagraph"/>
        <w:numPr>
          <w:ilvl w:val="0"/>
          <w:numId w:val="2"/>
        </w:numPr>
        <w:spacing w:after="80"/>
      </w:pPr>
      <w:r>
        <w:rPr>
          <w:b w:val="false"/>
          <w:bCs w:val="false"/>
        </w:rPr>
        <w:t xml:space="preserve">Chennai's office and residential supply is normalising ahead of the festive quarter, with Chennai Metro Phase 2 progress cited as a supporting catalyst for the city's continuing sales recovery.</w:t>
      </w:r>
    </w:p>
    <w:p>
      <w:pPr>
        <w:spacing w:after="150"/>
      </w:pPr>
      <w:r>
        <w:rPr>
          <w:i/>
          <w:iCs/>
          <w:color w:val="595959"/>
          <w:sz w:val="18"/>
          <w:szCs w:val="18"/>
        </w:rPr>
        <w:t xml:space="preserve">Sources: Sakshi Post/Hyderabad Mail (HMDA mega auction pipeline, Neopolis Phase-III pre-bid); PropTiger Real Insight (Chennai supply normalisation, Metro Phase 2).</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TG-RERA's continued facilitation of HMDA's high-value Kokapet auctions underscores the regulator's role in channelling premium land supply even as Hyderabad's broader residential registration volumes stabilise.</w:t>
      </w:r>
    </w:p>
    <w:p>
      <w:pPr>
        <w:pStyle w:val="ListParagraph"/>
        <w:numPr>
          <w:ilvl w:val="0"/>
          <w:numId w:val="2"/>
        </w:numPr>
        <w:spacing w:after="80"/>
      </w:pPr>
      <w:r>
        <w:rPr>
          <w:b w:val="false"/>
          <w:bCs w:val="false"/>
        </w:rPr>
        <w:t xml:space="preserve">CREDAI Telangana is likely to cite the ₹115-120 crore per acre Kokapet bids as fresh evidence of institutional confidence in Hyderabad's ORR-linked growth corridors.</w:t>
      </w:r>
    </w:p>
    <w:p>
      <w:pPr>
        <w:pStyle w:val="ListParagraph"/>
        <w:numPr>
          <w:ilvl w:val="0"/>
          <w:numId w:val="2"/>
        </w:numPr>
        <w:spacing w:after="80"/>
      </w:pPr>
      <w:r>
        <w:rPr>
          <w:b w:val="false"/>
          <w:bCs w:val="false"/>
        </w:rPr>
        <w:t xml:space="preserve">CREDAI Tamil Nadu is expected to welcome Chennai's doubled Q3 sales volume as validation of the OMR and Metro Phase 2-linked demand recovery across the state's residential registration pipeline.</w:t>
      </w:r>
    </w:p>
    <w:p>
      <w:pPr>
        <w:spacing w:after="150"/>
      </w:pPr>
      <w:r>
        <w:rPr>
          <w:i/>
          <w:iCs/>
          <w:color w:val="595959"/>
          <w:sz w:val="18"/>
          <w:szCs w:val="18"/>
        </w:rPr>
        <w:t xml:space="preserve">Sources: Telangana Today/Gulte; Business Standard; PropTiger Real Insight.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top eight cities recorded 89,161 new home launches against 91,729 units sold in Q2 2026, with sales again outpacing new supply and the sales-weighted average price rising 1.0% QoQ to ₹10,153 per sq ft.</w:t>
      </w:r>
    </w:p>
    <w:p>
      <w:pPr>
        <w:pStyle w:val="ListParagraph"/>
        <w:numPr>
          <w:ilvl w:val="0"/>
          <w:numId w:val="2"/>
        </w:numPr>
        <w:spacing w:after="80"/>
      </w:pPr>
      <w:r>
        <w:rPr>
          <w:b w:val="false"/>
          <w:bCs w:val="false"/>
        </w:rPr>
        <w:t xml:space="preserve">Both supply and sales moderated sequentially in Q2 2026 — down 4.2% and 4.4% QoQ respectively — yet the continued sales-over-supply gap kept unsold inventory levels from building up meaningfully nationally.</w:t>
      </w:r>
    </w:p>
    <w:p>
      <w:pPr>
        <w:pStyle w:val="ListParagraph"/>
        <w:numPr>
          <w:ilvl w:val="0"/>
          <w:numId w:val="2"/>
        </w:numPr>
        <w:spacing w:after="80"/>
      </w:pPr>
      <w:r>
        <w:rPr>
          <w:b w:val="false"/>
          <w:bCs w:val="false"/>
        </w:rPr>
        <w:t xml:space="preserve">Q3 2026 is expected to benefit from festive-season demand, continued sales recovery in Kolkata, supply normalisation in Chennai, and sustained momentum in Bengaluru and Delhi-NCR aided by metro-line completions.</w:t>
      </w:r>
    </w:p>
    <w:p>
      <w:pPr>
        <w:spacing w:after="150"/>
      </w:pPr>
      <w:r>
        <w:rPr>
          <w:i/>
          <w:iCs/>
          <w:color w:val="595959"/>
          <w:sz w:val="18"/>
          <w:szCs w:val="18"/>
        </w:rPr>
        <w:t xml:space="preserve">Sources: PropTiger Real Insight Residential Q2 2026 report (launch/sales data, Q3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NAREDCO Maharashtra hosted the Real Estate &amp; Infrastructure Investors' Summit 2026 in Mumbai on 3 September, targeting foreign investment commitments exceeding ₹10,000 crore under the theme "RE-Defining India's Growth Story."</w:t>
      </w:r>
    </w:p>
    <w:p>
      <w:pPr>
        <w:pStyle w:val="ListParagraph"/>
        <w:numPr>
          <w:ilvl w:val="0"/>
          <w:numId w:val="2"/>
        </w:numPr>
        <w:spacing w:after="80"/>
      </w:pPr>
      <w:r>
        <w:rPr>
          <w:b w:val="false"/>
          <w:bCs w:val="false"/>
        </w:rPr>
        <w:t xml:space="preserve">The summit also announced a new International Business &amp; Finance Center (IBFC) in Nagpur, aimed at establishing a regional financial hub and decentralising real estate-linked economic growth beyond Mumbai.</w:t>
      </w:r>
    </w:p>
    <w:p>
      <w:pPr>
        <w:pStyle w:val="ListParagraph"/>
        <w:numPr>
          <w:ilvl w:val="0"/>
          <w:numId w:val="2"/>
        </w:numPr>
        <w:spacing w:after="80"/>
      </w:pPr>
      <w:r>
        <w:rPr>
          <w:b w:val="false"/>
          <w:bCs w:val="false"/>
        </w:rPr>
        <w:t xml:space="preserve">India's real estate sector, valued at $650 billion in 2025 and contributing 7.3% to national GDP, is projected to see that GDP share expand substantially over the coming decades as institutional capital inflows continue.</w:t>
      </w:r>
    </w:p>
    <w:p>
      <w:pPr>
        <w:spacing w:after="150"/>
      </w:pPr>
      <w:r>
        <w:rPr>
          <w:i/>
          <w:iCs/>
          <w:color w:val="595959"/>
          <w:sz w:val="18"/>
          <w:szCs w:val="18"/>
        </w:rPr>
        <w:t xml:space="preserve">Sources: ANI News (NAREDCO Maharashtra REIIS 2026, IBFC Nagpur announcement); RealtynMore (sector GDP contribution and outlook).</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advised all state RERAs to grant a four-month extension, invoking RERA's force-majeure provisions, for projects whose completion deadlines fall on or after 28 February 2026 and were hit by West Asia-linked material shortages.</w:t>
      </w:r>
    </w:p>
    <w:p>
      <w:pPr>
        <w:pStyle w:val="ListParagraph"/>
        <w:numPr>
          <w:ilvl w:val="0"/>
          <w:numId w:val="2"/>
        </w:numPr>
        <w:spacing w:after="80"/>
      </w:pPr>
      <w:r>
        <w:rPr>
          <w:b w:val="false"/>
          <w:bCs w:val="false"/>
        </w:rPr>
        <w:t xml:space="preserve">CREDAI and NAREDCO have welcomed the advisory, saying it offers regulatory clarity, eases pressure on developers navigating supply disruptions, and reduces litigation risk, while urging state RERAs to implement it without delay.</w:t>
      </w:r>
    </w:p>
    <w:p>
      <w:pPr>
        <w:pStyle w:val="ListParagraph"/>
        <w:numPr>
          <w:ilvl w:val="0"/>
          <w:numId w:val="2"/>
        </w:numPr>
        <w:spacing w:after="80"/>
      </w:pPr>
      <w:r>
        <w:rPr>
          <w:b w:val="false"/>
          <w:bCs w:val="false"/>
        </w:rPr>
        <w:t xml:space="preserve">Tier-2 cities such as Indore, Jaipur and Lucknow are increasingly emerging as fresh real estate hotspots nationally, as buyers priced out of metro markets look to secondary cities for value, a trend CREDAI's regional chapters are moving to capture.</w:t>
      </w:r>
    </w:p>
    <w:p>
      <w:pPr>
        <w:spacing w:after="150"/>
      </w:pPr>
      <w:r>
        <w:rPr>
          <w:i/>
          <w:iCs/>
          <w:color w:val="595959"/>
          <w:sz w:val="18"/>
          <w:szCs w:val="18"/>
        </w:rPr>
        <w:t xml:space="preserve">Sources: BusinessWorld/Newkerala (MoHUA four-month RERA extension advisory); PropNewsTime (CREDAI-NAREDCO reception); Banking Inputs (Tier-2 city hotspot trend).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2026-09-23T03:50:13.935Z</dcterms:created>
  <dcterms:modified xsi:type="dcterms:W3CDTF">2026-09-23T03:50:13.944Z</dcterms:modified>
</cp:coreProperties>
</file>

<file path=docProps/custom.xml><?xml version="1.0" encoding="utf-8"?>
<Properties xmlns="http://schemas.openxmlformats.org/officeDocument/2006/custom-properties" xmlns:vt="http://schemas.openxmlformats.org/officeDocument/2006/docPropsVTypes"/>
</file>