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Thursday, 22 October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Aratt Developers unveiled Aratt Escapes in March 2026, a 22-acre plotted villa project in Chikkaballapur roughly 20 minutes from Kempegowda International Airport, comprising 300 premium gated plots sized 40x60 and 40x45 feet.</w:t>
      </w:r>
    </w:p>
    <w:p>
      <w:pPr>
        <w:pStyle w:val="ListParagraph"/>
        <w:numPr>
          <w:ilvl w:val="0"/>
          <w:numId w:val="2"/>
        </w:numPr>
        <w:spacing w:after="80"/>
      </w:pPr>
      <w:r>
        <w:rPr>
          <w:b w:val="false"/>
          <w:bCs w:val="false"/>
        </w:rPr>
        <w:t xml:space="preserve">Sumadhura Group plans six luxury residential projects across East and North Bengaluru in FY26, spanning 90 acres with more than 4,000 units (including over 400 plots) and a combined revenue potential of ₹10,000 crore.</w:t>
      </w:r>
    </w:p>
    <w:p>
      <w:pPr>
        <w:pStyle w:val="ListParagraph"/>
        <w:numPr>
          <w:ilvl w:val="0"/>
          <w:numId w:val="2"/>
        </w:numPr>
        <w:spacing w:after="80"/>
      </w:pPr>
      <w:r>
        <w:rPr>
          <w:b w:val="false"/>
          <w:bCs w:val="false"/>
        </w:rPr>
        <w:t xml:space="preserve">Prestige Olive Oak, a 32-acre plotted township in Bettenahalli (North Bengaluru) with 400 plots priced from ₹1.44 crore for a 1,200 sq ft plot, is slated for a 10 December 2026 launch with RERA approval still pending.</w:t>
      </w:r>
    </w:p>
    <w:p>
      <w:pPr>
        <w:spacing w:after="150"/>
      </w:pPr>
      <w:r>
        <w:rPr>
          <w:i/>
          <w:iCs/>
          <w:color w:val="595959"/>
          <w:sz w:val="18"/>
          <w:szCs w:val="18"/>
        </w:rPr>
        <w:t xml:space="preserve">Sources: RealtyNMore (Aratt Escapes launch, Sumadhura six-project plan); NBM&amp;CW (Sumadhura ₹10,000 crore revenue potential); draft listing coverage (Prestige Olive Oak pre-launch details, RERA status pending — unverified).</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Abhee Ventures is scaling up its Bengaluru footprint beyond its existing 20-acre Abhee Tranquila villa-plot project on Sarjapur-Attibele Road, with a planned 45-acre township on the Whitefield-Sarjapur Road corridor.</w:t>
      </w:r>
    </w:p>
    <w:p>
      <w:pPr>
        <w:pStyle w:val="ListParagraph"/>
        <w:numPr>
          <w:ilvl w:val="0"/>
          <w:numId w:val="2"/>
        </w:numPr>
        <w:spacing w:after="80"/>
      </w:pPr>
      <w:r>
        <w:rPr>
          <w:b w:val="false"/>
          <w:bCs w:val="false"/>
        </w:rPr>
        <w:t xml:space="preserve">The continued wave of large-format villa-plot launches (Aratt in Chikkaballapur, Sumadhura in East/North Bengaluru, Prestige in Bettenahalli, Abhee on Whitefield-Sarjapur Road) signals sustained developer confidence in land-banking across Bengaluru's outer growth corridors.</w:t>
      </w:r>
    </w:p>
    <w:p>
      <w:pPr>
        <w:pStyle w:val="ListParagraph"/>
        <w:numPr>
          <w:ilvl w:val="0"/>
          <w:numId w:val="2"/>
        </w:numPr>
        <w:spacing w:after="80"/>
      </w:pPr>
      <w:r>
        <w:rPr>
          <w:b w:val="false"/>
          <w:bCs w:val="false"/>
        </w:rPr>
        <w:t xml:space="preserve">Plotted development continues to outpace apartment launches in several of these outer corridors, reflecting buyer preference for self-build flexibility and lower entry price points relative to branded apartment products.</w:t>
      </w:r>
    </w:p>
    <w:p>
      <w:pPr>
        <w:spacing w:after="150"/>
      </w:pPr>
      <w:r>
        <w:rPr>
          <w:i/>
          <w:iCs/>
          <w:color w:val="595959"/>
          <w:sz w:val="18"/>
          <w:szCs w:val="18"/>
        </w:rPr>
        <w:t xml:space="preserve">Sources: RealtyNMore (Abhee Ventures Bengaluru footprint expansion, Whitefield-Sarjapur Road township plan).</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Prestige Olive Oak's pending RERA approval ahead of its planned 10 December 2026 launch illustrates the continued pre-launch registration process developers must complete under K-RERA before marketing plotted townships.</w:t>
      </w:r>
    </w:p>
    <w:p>
      <w:pPr>
        <w:pStyle w:val="ListParagraph"/>
        <w:numPr>
          <w:ilvl w:val="0"/>
          <w:numId w:val="2"/>
        </w:numPr>
        <w:spacing w:after="80"/>
      </w:pPr>
      <w:r>
        <w:rPr>
          <w:b w:val="false"/>
          <w:bCs w:val="false"/>
        </w:rPr>
        <w:t xml:space="preserve">CREDAI Karnataka members are likely to view the wave of large-scale plotted launches (Aratt, Sumadhura, Prestige, Abhee) as evidence of sustained land-banking and development confidence even amid the ongoing BDA/GBA administrative transition.</w:t>
      </w:r>
    </w:p>
    <w:p>
      <w:pPr>
        <w:pStyle w:val="ListParagraph"/>
        <w:numPr>
          <w:ilvl w:val="0"/>
          <w:numId w:val="2"/>
        </w:numPr>
        <w:spacing w:after="80"/>
      </w:pPr>
      <w:r>
        <w:rPr>
          <w:b w:val="false"/>
          <w:bCs w:val="false"/>
        </w:rPr>
        <w:t xml:space="preserve">With multiple plotted projects citing revenue potential in the thousands of crores ahead of formal RERA registration, buyers are advised to confirm registration status directly on the K-RERA portal before committing to bookings on these pre-launch offerings.</w:t>
      </w:r>
    </w:p>
    <w:p>
      <w:pPr>
        <w:spacing w:after="150"/>
      </w:pPr>
      <w:r>
        <w:rPr>
          <w:i/>
          <w:iCs/>
          <w:color w:val="595959"/>
          <w:sz w:val="18"/>
          <w:szCs w:val="18"/>
        </w:rPr>
        <w:t xml:space="preserve">Sources: RealtyNMore; NBM&amp;CW; draft listing coverage (Prestige Olive Oak).</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Hyderabad's new residential launches rose 13.8% QoQ and 5.8% YoY in Q1 2026 to 10,665 units per JLL, with the western suburbs corridor accounting for 97% of all units launched in the quarter.</w:t>
      </w:r>
    </w:p>
    <w:p>
      <w:pPr>
        <w:pStyle w:val="ListParagraph"/>
        <w:numPr>
          <w:ilvl w:val="0"/>
          <w:numId w:val="2"/>
        </w:numPr>
        <w:spacing w:after="80"/>
      </w:pPr>
      <w:r>
        <w:rPr>
          <w:b w:val="false"/>
          <w:bCs w:val="false"/>
        </w:rPr>
        <w:t xml:space="preserve">Anarock's parallel Q1 2026 count shows a markedly higher 19,300 launched units for the same quarter, a divergence from JLL's 10,665 figure likely reflecting differing scope or methodology between the two research houses.</w:t>
      </w:r>
    </w:p>
    <w:p>
      <w:pPr>
        <w:pStyle w:val="ListParagraph"/>
        <w:numPr>
          <w:ilvl w:val="0"/>
          <w:numId w:val="2"/>
        </w:numPr>
        <w:spacing w:after="80"/>
      </w:pPr>
      <w:r>
        <w:rPr>
          <w:b w:val="false"/>
          <w:bCs w:val="false"/>
        </w:rPr>
        <w:t xml:space="preserve">Anarock put Hyderabad's average quoted base selling price at ₹7,990 per sq ft in Q1 2026, with named western-corridor projects ranging from about ₹6,299 per sq ft in Kollur to ₹7,499 per sq ft in Tellapur.</w:t>
      </w:r>
    </w:p>
    <w:p>
      <w:pPr>
        <w:spacing w:after="150"/>
      </w:pPr>
      <w:r>
        <w:rPr>
          <w:i/>
          <w:iCs/>
          <w:color w:val="595959"/>
          <w:sz w:val="18"/>
          <w:szCs w:val="18"/>
        </w:rPr>
        <w:t xml:space="preserve">Sources: JLL APPD Market Report (Hyderabad Q1 2026 residential launches); Anarock (Hyderabad Q1 2026 Residential Market Viewpoints — launch count, pricing by micro-market).</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The sharp divergence between JLL's and Anarock's Q1 2026 Hyderabad launch counts (10,665 vs. 19,300 units) highlights the continued lack of a single standardised launch-tracking methodology across India's major property research houses.</w:t>
      </w:r>
    </w:p>
    <w:p>
      <w:pPr>
        <w:pStyle w:val="ListParagraph"/>
        <w:numPr>
          <w:ilvl w:val="0"/>
          <w:numId w:val="2"/>
        </w:numPr>
        <w:spacing w:after="80"/>
      </w:pPr>
      <w:r>
        <w:rPr>
          <w:b w:val="false"/>
          <w:bCs w:val="false"/>
        </w:rPr>
        <w:t xml:space="preserve">Continued concentration of new supply in the western suburbs — spanning Kollur, Tellapur and the broader Kokapet corridor — reinforces that belt's dominance in Hyderabad's residential and mixed-use development pipeline.</w:t>
      </w:r>
    </w:p>
    <w:p>
      <w:pPr>
        <w:pStyle w:val="ListParagraph"/>
        <w:numPr>
          <w:ilvl w:val="0"/>
          <w:numId w:val="2"/>
        </w:numPr>
        <w:spacing w:after="80"/>
      </w:pPr>
      <w:r>
        <w:rPr>
          <w:b w:val="false"/>
          <w:bCs w:val="false"/>
        </w:rPr>
        <w:t xml:space="preserve">The wide pricing band across western-corridor micro-markets (₹6,299-7,499 per sq ft) reflects continued differentiation between emerging and more established micro-markets within the same broad growth corridor.</w:t>
      </w:r>
    </w:p>
    <w:p>
      <w:pPr>
        <w:spacing w:after="150"/>
      </w:pPr>
      <w:r>
        <w:rPr>
          <w:i/>
          <w:iCs/>
          <w:color w:val="595959"/>
          <w:sz w:val="18"/>
          <w:szCs w:val="18"/>
        </w:rPr>
        <w:t xml:space="preserve">Sources: JLL APPD Market Report; Anarock Hyderabad Q1 2026 Residential Market Viewpoints.</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CREDAI Telangana is likely to press research houses for more standardised, comparable launch-count methodologies given the wide gap between JLL's and Anarock's Q1 2026 Hyderabad figures.</w:t>
      </w:r>
    </w:p>
    <w:p>
      <w:pPr>
        <w:pStyle w:val="ListParagraph"/>
        <w:numPr>
          <w:ilvl w:val="0"/>
          <w:numId w:val="2"/>
        </w:numPr>
        <w:spacing w:after="80"/>
      </w:pPr>
      <w:r>
        <w:rPr>
          <w:b w:val="false"/>
          <w:bCs w:val="false"/>
        </w:rPr>
        <w:t xml:space="preserve">With new supply so heavily concentrated in the western suburbs corridor, CREDAI Telangana and TG-RERA are expected to keep registration-compliance monitoring focused on that belt as the bulk of the city's active project pipeline.</w:t>
      </w:r>
    </w:p>
    <w:p>
      <w:pPr>
        <w:pStyle w:val="ListParagraph"/>
        <w:numPr>
          <w:ilvl w:val="0"/>
          <w:numId w:val="2"/>
        </w:numPr>
        <w:spacing w:after="80"/>
      </w:pPr>
      <w:r>
        <w:rPr>
          <w:b w:val="false"/>
          <w:bCs w:val="false"/>
        </w:rPr>
        <w:t xml:space="preserve">The continued pricing differentiation across Kollur, Tellapur and other western-corridor micro-markets is likely to keep CREDAI Telangana members focused on micro-market-specific positioning rather than treating the corridor as a single homogenous market.</w:t>
      </w:r>
    </w:p>
    <w:p>
      <w:pPr>
        <w:spacing w:after="150"/>
      </w:pPr>
      <w:r>
        <w:rPr>
          <w:i/>
          <w:iCs/>
          <w:color w:val="595959"/>
          <w:sz w:val="18"/>
          <w:szCs w:val="18"/>
        </w:rPr>
        <w:t xml:space="preserve">Sources: JLL APPD Market Report; Anarock Hyderabad Q1 2026 Residential Market Viewpoints.</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A CII-Knight Frank study released 18 September 2026, "India's Next Real Estate Markets," found residential prices across 11 tier-2 cities (Bhopal, Bhubaneswar, Chandigarh Tricity, Goa, Indore, Jaipur, Kochi, Lucknow, Nagpur, Visakhapatnam and Coimbatore) rose 63% between 2021 and 2026, versus 42% in the top eight metros.</w:t>
      </w:r>
    </w:p>
    <w:p>
      <w:pPr>
        <w:pStyle w:val="ListParagraph"/>
        <w:numPr>
          <w:ilvl w:val="0"/>
          <w:numId w:val="2"/>
        </w:numPr>
        <w:spacing w:after="80"/>
      </w:pPr>
      <w:r>
        <w:rPr>
          <w:b w:val="false"/>
          <w:bCs w:val="false"/>
        </w:rPr>
        <w:t xml:space="preserve">Over the longer 2016-2026 span, these tier-2 markets compounded at roughly 8% annually versus 4% for the top eight cities, per the same study, pointing to a sustained structural outperformance rather than a short-term spike.</w:t>
      </w:r>
    </w:p>
    <w:p>
      <w:pPr>
        <w:pStyle w:val="ListParagraph"/>
        <w:numPr>
          <w:ilvl w:val="0"/>
          <w:numId w:val="2"/>
        </w:numPr>
        <w:spacing w:after="80"/>
      </w:pPr>
      <w:r>
        <w:rPr>
          <w:b w:val="false"/>
          <w:bCs w:val="false"/>
        </w:rPr>
        <w:t xml:space="preserve">A Crisil report (July 2026) found Bhubaneswar, Coimbatore and Lucknow now command average prices above ₹10,000 per sq ft (carpet area), levels comparable to certain micro-markets within India's top-tier cities.</w:t>
      </w:r>
    </w:p>
    <w:p>
      <w:pPr>
        <w:spacing w:after="150"/>
      </w:pPr>
      <w:r>
        <w:rPr>
          <w:i/>
          <w:iCs/>
          <w:color w:val="595959"/>
          <w:sz w:val="18"/>
          <w:szCs w:val="18"/>
        </w:rPr>
        <w:t xml:space="preserve">Sources: Outlookmoney/CII-Knight Frank ("India's Next Real Estate Markets" study, 18 September 2026); Crisil (tier-2 city pricing report, July 2026).</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Crisil's July 2026 report notes that Jaipur, Nagpur, Nashik and Vadodara remain mid-segment focused, with more than 75% of their residential supply priced below ₹75 lakh, a contrast to the premium pricing seen in Bhubaneswar, Coimbatore and Lucknow.</w:t>
      </w:r>
    </w:p>
    <w:p>
      <w:pPr>
        <w:pStyle w:val="ListParagraph"/>
        <w:numPr>
          <w:ilvl w:val="0"/>
          <w:numId w:val="2"/>
        </w:numPr>
        <w:spacing w:after="80"/>
      </w:pPr>
      <w:r>
        <w:rPr>
          <w:b w:val="false"/>
          <w:bCs w:val="false"/>
        </w:rPr>
        <w:t xml:space="preserve">India's retail leasing across the top eight cities reached 2.22 million sq ft in Q3 2026 per Cushman &amp; Wakefield, with main-street retail capturing 67.9% of volume while mall leasing fell sharply to 0.71 million sq ft, down 42.1% QoQ and 37.8% YoY.</w:t>
      </w:r>
    </w:p>
    <w:p>
      <w:pPr>
        <w:pStyle w:val="ListParagraph"/>
        <w:numPr>
          <w:ilvl w:val="0"/>
          <w:numId w:val="2"/>
        </w:numPr>
        <w:spacing w:after="80"/>
      </w:pPr>
      <w:r>
        <w:rPr>
          <w:b w:val="false"/>
          <w:bCs w:val="false"/>
        </w:rPr>
        <w:t xml:space="preserve">Year-to-date retail leasing through Q3 2026 stood at roughly 6.57 million sq ft, broadly flat YoY (+0.4%), indicating the quarter's mall-leasing weakness was offset by continued main-street strength.</w:t>
      </w:r>
    </w:p>
    <w:p>
      <w:pPr>
        <w:spacing w:after="150"/>
      </w:pPr>
      <w:r>
        <w:rPr>
          <w:i/>
          <w:iCs/>
          <w:color w:val="595959"/>
          <w:sz w:val="18"/>
          <w:szCs w:val="18"/>
        </w:rPr>
        <w:t xml:space="preserve">Sources: Crisil (tier-2 city segment mix, July 2026); Cushman &amp; Wakefield (India retail leasing Q3 2026, mall vs. main-street split).</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CREDAI and NAREDCO are likely to cite tier-2 cities' sustained 63% five-year price outperformance as validation of long-standing advocacy for policy support extending beyond India's traditional metro-centric real estate framework.</w:t>
      </w:r>
    </w:p>
    <w:p>
      <w:pPr>
        <w:pStyle w:val="ListParagraph"/>
        <w:numPr>
          <w:ilvl w:val="0"/>
          <w:numId w:val="2"/>
        </w:numPr>
        <w:spacing w:after="80"/>
      </w:pPr>
      <w:r>
        <w:rPr>
          <w:b w:val="false"/>
          <w:bCs w:val="false"/>
        </w:rPr>
        <w:t xml:space="preserve">With tier-2 affordability under pressure from sustained price appreciation per Crisil, CREDAI is expected to balance its growth narrative for these markets with continued advocacy for affordable-segment supply in fast-appreciating cities like Bhubaneswar, Coimbatore and Lucknow.</w:t>
      </w:r>
    </w:p>
    <w:p>
      <w:pPr>
        <w:pStyle w:val="ListParagraph"/>
        <w:numPr>
          <w:ilvl w:val="0"/>
          <w:numId w:val="2"/>
        </w:numPr>
        <w:spacing w:after="80"/>
      </w:pPr>
      <w:r>
        <w:rPr>
          <w:b w:val="false"/>
          <w:bCs w:val="false"/>
        </w:rPr>
        <w:t xml:space="preserve">The sharp mall-leasing decline amid flat overall retail leasing is likely to keep CREDAI's retail-sector members focused on main-street and mixed-use formats as more resilient leasing channels through the remainder of 2026.</w:t>
      </w:r>
    </w:p>
    <w:p>
      <w:pPr>
        <w:spacing w:after="150"/>
      </w:pPr>
      <w:r>
        <w:rPr>
          <w:i/>
          <w:iCs/>
          <w:color w:val="595959"/>
          <w:sz w:val="18"/>
          <w:szCs w:val="18"/>
        </w:rPr>
        <w:t xml:space="preserve">Sources: Outlookmoney/CII-Knight Frank; Crisil; Cushman &amp; Wakefield.</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2026-10-22T03:36:11.908Z</dcterms:created>
  <dcterms:modified xsi:type="dcterms:W3CDTF">2026-10-22T03:36:11.917Z</dcterms:modified>
</cp:coreProperties>
</file>

<file path=docProps/custom.xml><?xml version="1.0" encoding="utf-8"?>
<Properties xmlns="http://schemas.openxmlformats.org/officeDocument/2006/custom-properties" xmlns:vt="http://schemas.openxmlformats.org/officeDocument/2006/docPropsVTypes"/>
</file>