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Friday, 21 August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Rajajinagar's property market has reached an average of ₹23,600 per sq ft, delivering 66% price growth over five years, with premium projects like Phoenix Kessaku commanding ₹33,815 per sq ft on the back of 16.88% recent appreciation.</w:t>
      </w:r>
    </w:p>
    <w:p>
      <w:pPr>
        <w:pStyle w:val="ListParagraph"/>
        <w:numPr>
          <w:ilvl w:val="0"/>
          <w:numId w:val="2"/>
        </w:numPr>
        <w:spacing w:after="80"/>
      </w:pPr>
      <w:r>
        <w:rPr>
          <w:b w:val="false"/>
          <w:bCs w:val="false"/>
        </w:rPr>
        <w:t xml:space="preserve">Malleswaram is witnessing a significant real estate boom, with plot investment activity picking up sharply as buyers look to capitalise on the locality's central location and established social infrastructure.</w:t>
      </w:r>
    </w:p>
    <w:p>
      <w:pPr>
        <w:pStyle w:val="ListParagraph"/>
        <w:numPr>
          <w:ilvl w:val="0"/>
          <w:numId w:val="2"/>
        </w:numPr>
        <w:spacing w:after="80"/>
      </w:pPr>
      <w:r>
        <w:rPr>
          <w:b w:val="false"/>
          <w:bCs w:val="false"/>
        </w:rPr>
        <w:t xml:space="preserve">Bengaluru's Q2 2026 residential launches were led by the North submarket (28% share) and East submarket (26%), with Rajajinagar's strategic connectivity to Malleswaram, Mahalakshmi Layout and Vijayanagar continuing to draw professionals and families.</w:t>
      </w:r>
    </w:p>
    <w:p>
      <w:pPr>
        <w:spacing w:after="150"/>
      </w:pPr>
      <w:r>
        <w:rPr>
          <w:i/>
          <w:iCs/>
          <w:color w:val="595959"/>
          <w:sz w:val="18"/>
          <w:szCs w:val="18"/>
        </w:rPr>
        <w:t xml:space="preserve">Sources: AurumProptech (Rajajinagar pricing, Phoenix Kessaku); NoBroker (Malleswaram plot boom); PropSoch (Q2 2026 launch submarket split).</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Rajajinagar's rapid five-year appreciation (66%) and premium project pricing (Phoenix Kessaku at ₹33,815/sq ft) signal continued institutional and developer confidence in West Bengaluru's established residential-commercial corridors.</w:t>
      </w:r>
    </w:p>
    <w:p>
      <w:pPr>
        <w:pStyle w:val="ListParagraph"/>
        <w:numPr>
          <w:ilvl w:val="0"/>
          <w:numId w:val="2"/>
        </w:numPr>
        <w:spacing w:after="80"/>
      </w:pPr>
      <w:r>
        <w:rPr>
          <w:b w:val="false"/>
          <w:bCs w:val="false"/>
        </w:rPr>
        <w:t xml:space="preserve">Malleswaram's boom in plot transactions is expected to spur incremental commercial and retail activity as landowners redevelop older plots into mixed-use structures.</w:t>
      </w:r>
    </w:p>
    <w:p>
      <w:pPr>
        <w:pStyle w:val="ListParagraph"/>
        <w:numPr>
          <w:ilvl w:val="0"/>
          <w:numId w:val="2"/>
        </w:numPr>
        <w:spacing w:after="80"/>
      </w:pPr>
      <w:r>
        <w:rPr>
          <w:b w:val="false"/>
          <w:bCs w:val="false"/>
        </w:rPr>
        <w:t xml:space="preserve">West Bengaluru's Rajajinagar-Malleswaram belt continues to benefit from its central connectivity, supporting steady commercial leasing demand even as newer corridors like ORR and North Bengaluru capture a larger share of fresh supply.</w:t>
      </w:r>
    </w:p>
    <w:p>
      <w:pPr>
        <w:spacing w:after="150"/>
      </w:pPr>
      <w:r>
        <w:rPr>
          <w:i/>
          <w:iCs/>
          <w:color w:val="595959"/>
          <w:sz w:val="18"/>
          <w:szCs w:val="18"/>
        </w:rPr>
        <w:t xml:space="preserve">Sources: AurumProptech; NoBroker; PropSoch.</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The Karnataka government has appointed retired IAS officer N Jayaram as a Member of K-RERA, with the Housing Department formally issuing the appointment notification on 15 July 2026 — ending an 18-month vacancy left by former member Neelamani N. Raju's retirement in January 2025.</w:t>
      </w:r>
    </w:p>
    <w:p>
      <w:pPr>
        <w:pStyle w:val="ListParagraph"/>
        <w:numPr>
          <w:ilvl w:val="0"/>
          <w:numId w:val="2"/>
        </w:numPr>
        <w:spacing w:after="80"/>
      </w:pPr>
      <w:r>
        <w:rPr>
          <w:b w:val="false"/>
          <w:bCs w:val="false"/>
        </w:rPr>
        <w:t xml:space="preserve">K-RERA's chairman post remains vacant following H.C. Kishore Chandra's retirement, meaning the regulator now has a partially reconstituted bench even as the top leadership position remains unfilled.</w:t>
      </w:r>
    </w:p>
    <w:p>
      <w:pPr>
        <w:pStyle w:val="ListParagraph"/>
        <w:numPr>
          <w:ilvl w:val="0"/>
          <w:numId w:val="2"/>
        </w:numPr>
        <w:spacing w:after="80"/>
      </w:pPr>
      <w:r>
        <w:rPr>
          <w:b w:val="false"/>
          <w:bCs w:val="false"/>
        </w:rPr>
        <w:t xml:space="preserve">CREDAI Karnataka continues to track K-RERA's gradual reconstitution alongside its ongoing premium-FAR and e-Khata advocacy with the state government.</w:t>
      </w:r>
    </w:p>
    <w:p>
      <w:pPr>
        <w:spacing w:after="150"/>
      </w:pPr>
      <w:r>
        <w:rPr>
          <w:i/>
          <w:iCs/>
          <w:color w:val="595959"/>
          <w:sz w:val="18"/>
          <w:szCs w:val="18"/>
        </w:rPr>
        <w:t xml:space="preserve">Sources: North Block South Block/Deccan Herald (N Jayaram K-RERA member appointment); Deccan Herald (K-RERA chairman vacancy).</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Chennai's apartment sales rose 27% YoY to 8,587 units in H1 2026, with average housing prices up 13% over the same period — the city's second-highest sales growth among India's seven major housing markets, per JLL.</w:t>
      </w:r>
    </w:p>
    <w:p>
      <w:pPr>
        <w:pStyle w:val="ListParagraph"/>
        <w:numPr>
          <w:ilvl w:val="0"/>
          <w:numId w:val="2"/>
        </w:numPr>
        <w:spacing w:after="80"/>
      </w:pPr>
      <w:r>
        <w:rPr>
          <w:b w:val="false"/>
          <w:bCs w:val="false"/>
        </w:rPr>
        <w:t xml:space="preserve">Hyderabad's residential market recorded 6,179 property registrations worth ₹4,139 crore in February 2026 alone, with experts projecting 10–15% price growth through 2026 as IT and pharma-sector job growth continues to drive housing demand.</w:t>
      </w:r>
    </w:p>
    <w:p>
      <w:pPr>
        <w:pStyle w:val="ListParagraph"/>
        <w:numPr>
          <w:ilvl w:val="0"/>
          <w:numId w:val="2"/>
        </w:numPr>
        <w:spacing w:after="80"/>
      </w:pPr>
      <w:r>
        <w:rPr>
          <w:b w:val="false"/>
          <w:bCs w:val="false"/>
        </w:rPr>
        <w:t xml:space="preserve">Chennai's H1 2026 performance benefited from infrastructure development, regulatory stability and steady buyer confidence, reinforcing the city's position as one of South India's most resilient residential markets.</w:t>
      </w:r>
    </w:p>
    <w:p>
      <w:pPr>
        <w:spacing w:after="150"/>
      </w:pPr>
      <w:r>
        <w:rPr>
          <w:i/>
          <w:iCs/>
          <w:color w:val="595959"/>
          <w:sz w:val="18"/>
          <w:szCs w:val="18"/>
        </w:rPr>
        <w:t xml:space="preserve">Sources: NoBroker/JLL (Chennai H1 2026 sales, price growth); Charan Group Updates (Hyderabad February 2026 registrations, price outlook).</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Telangana's amended building rules — additional floors, setback relaxations and expanded TDR usage — continue to support Hyderabad's commercial and residential development pipeline even as the city's overall market recalibrates.</w:t>
      </w:r>
    </w:p>
    <w:p>
      <w:pPr>
        <w:pStyle w:val="ListParagraph"/>
        <w:numPr>
          <w:ilvl w:val="0"/>
          <w:numId w:val="2"/>
        </w:numPr>
        <w:spacing w:after="80"/>
      </w:pPr>
      <w:r>
        <w:rPr>
          <w:b w:val="false"/>
          <w:bCs w:val="false"/>
        </w:rPr>
        <w:t xml:space="preserve">The Regional Ring Road's southern stretch continues to open new commercial and industrial growth corridors around Hyderabad's periphery, complementing the city's steady registration volumes.</w:t>
      </w:r>
    </w:p>
    <w:p>
      <w:pPr>
        <w:pStyle w:val="ListParagraph"/>
        <w:numPr>
          <w:ilvl w:val="0"/>
          <w:numId w:val="2"/>
        </w:numPr>
        <w:spacing w:after="80"/>
      </w:pPr>
      <w:r>
        <w:rPr>
          <w:b w:val="false"/>
          <w:bCs w:val="false"/>
        </w:rPr>
        <w:t xml:space="preserve">Chennai's 27% YoY sales surge and 13% price growth in H1 2026 point to continued commercial and retail spillover demand in the city's fastest-growing residential corridors.</w:t>
      </w:r>
    </w:p>
    <w:p>
      <w:pPr>
        <w:spacing w:after="150"/>
      </w:pPr>
      <w:r>
        <w:rPr>
          <w:i/>
          <w:iCs/>
          <w:color w:val="595959"/>
          <w:sz w:val="18"/>
          <w:szCs w:val="18"/>
        </w:rPr>
        <w:t xml:space="preserve">Sources: Charan Group Updates (Telangana building rules, Regional Ring Road); NoBroker/JLL.</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 continues to implement the Centre's four-month RERA project-extension advisory for projects with completion deadlines on or after 28 February 2026, with Tamil Nadu and Telangana developers among the direct beneficiaries.</w:t>
      </w:r>
    </w:p>
    <w:p>
      <w:pPr>
        <w:pStyle w:val="ListParagraph"/>
        <w:numPr>
          <w:ilvl w:val="0"/>
          <w:numId w:val="2"/>
        </w:numPr>
        <w:spacing w:after="80"/>
      </w:pPr>
      <w:r>
        <w:rPr>
          <w:b w:val="false"/>
          <w:bCs w:val="false"/>
        </w:rPr>
        <w:t xml:space="preserve">Karnataka's K-RERA member appointment (N Jayaram, ending an 18-month vacancy) offers a governance case study South Indian states are watching as they manage their own regulatory bench strength.</w:t>
      </w:r>
    </w:p>
    <w:p>
      <w:pPr>
        <w:pStyle w:val="ListParagraph"/>
        <w:numPr>
          <w:ilvl w:val="0"/>
          <w:numId w:val="2"/>
        </w:numPr>
        <w:spacing w:after="80"/>
      </w:pPr>
      <w:r>
        <w:rPr>
          <w:b w:val="false"/>
          <w:bCs w:val="false"/>
        </w:rPr>
        <w:t xml:space="preserve">Chennai's CMDA continues to implement its streamlined High Rise Building approval authority and anti-red-tapism directives, a reform South Indian CREDAI chapters continue to cite as a model for faster project approvals.</w:t>
      </w:r>
    </w:p>
    <w:p>
      <w:pPr>
        <w:spacing w:after="150"/>
      </w:pPr>
      <w:r>
        <w:rPr>
          <w:i/>
          <w:iCs/>
          <w:color w:val="595959"/>
          <w:sz w:val="18"/>
          <w:szCs w:val="18"/>
        </w:rPr>
        <w:t xml:space="preserve">Sources: Business Standard (MoHUA advisory); North Block South Block/Deccan Herald; Verified.RealEstate (CMDA reforms).</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Luxury housing is becoming multi-nodal nationally, expanding beyond traditional strongholds like Gurugram and Mumbai into Hyderabad, Bengaluru, Noida and Ahmedabad, supported by regional wealth creation and improving infrastructure.</w:t>
      </w:r>
    </w:p>
    <w:p>
      <w:pPr>
        <w:pStyle w:val="ListParagraph"/>
        <w:numPr>
          <w:ilvl w:val="0"/>
          <w:numId w:val="2"/>
        </w:numPr>
        <w:spacing w:after="80"/>
      </w:pPr>
      <w:r>
        <w:rPr>
          <w:b w:val="false"/>
          <w:bCs w:val="false"/>
        </w:rPr>
        <w:t xml:space="preserve">NRI purchases are projected to account for 18–20% of India's residential transactions in 2026, a significantly higher share than in previous years, reinforcing overseas buyers' growing influence on the national luxury and premium segments.</w:t>
      </w:r>
    </w:p>
    <w:p>
      <w:pPr>
        <w:pStyle w:val="ListParagraph"/>
        <w:numPr>
          <w:ilvl w:val="0"/>
          <w:numId w:val="2"/>
        </w:numPr>
        <w:spacing w:after="80"/>
      </w:pPr>
      <w:r>
        <w:rPr>
          <w:b w:val="false"/>
          <w:bCs w:val="false"/>
        </w:rPr>
        <w:t xml:space="preserve">Bengaluru's Rajajinagar (₹23,600/sq ft, +66% in five years) exemplifies the kind of established-corridor premiumisation now visible across India's expanding luxury housing map.</w:t>
      </w:r>
    </w:p>
    <w:p>
      <w:pPr>
        <w:spacing w:after="150"/>
      </w:pPr>
      <w:r>
        <w:rPr>
          <w:i/>
          <w:iCs/>
          <w:color w:val="595959"/>
          <w:sz w:val="18"/>
          <w:szCs w:val="18"/>
        </w:rPr>
        <w:t xml:space="preserve">Sources: StarEstate/CREmatrix (multi-nodal luxury expansion, NRI share); AurumProptech.</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Luxury independent floors in South Delhi rose as much as 21% YoY in the April-June 2026 quarter, with average prices for large-format floors reaching ₹23–48.5 crore, illustrating the scale of premiumisation at the very top of the national market.</w:t>
      </w:r>
    </w:p>
    <w:p>
      <w:pPr>
        <w:pStyle w:val="ListParagraph"/>
        <w:numPr>
          <w:ilvl w:val="0"/>
          <w:numId w:val="2"/>
        </w:numPr>
        <w:spacing w:after="80"/>
      </w:pPr>
      <w:r>
        <w:rPr>
          <w:b w:val="false"/>
          <w:bCs w:val="false"/>
        </w:rPr>
        <w:t xml:space="preserve">Karnataka's K-RERA reconstitution and Chennai's CMDA streamlining together reflect a broader national pattern of state regulators strengthening governance capacity to keep pace with rising transaction volumes.</w:t>
      </w:r>
    </w:p>
    <w:p>
      <w:pPr>
        <w:pStyle w:val="ListParagraph"/>
        <w:numPr>
          <w:ilvl w:val="0"/>
          <w:numId w:val="2"/>
        </w:numPr>
        <w:spacing w:after="80"/>
      </w:pPr>
      <w:r>
        <w:rPr>
          <w:b w:val="false"/>
          <w:bCs w:val="false"/>
        </w:rPr>
        <w:t xml:space="preserve">Continued NRI capital inflows (18–20% share projected for 2026) are expected to support commercial and luxury-residential development financing nationally through the remainder of the year.</w:t>
      </w:r>
    </w:p>
    <w:p>
      <w:pPr>
        <w:spacing w:after="150"/>
      </w:pPr>
      <w:r>
        <w:rPr>
          <w:i/>
          <w:iCs/>
          <w:color w:val="595959"/>
          <w:sz w:val="18"/>
          <w:szCs w:val="18"/>
        </w:rPr>
        <w:t xml:space="preserve">Sources: CREmatrix (South Delhi luxury floors); North Block South Block/Deccan Herald; StarEstate.</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The Ministry of Housing and Urban Affairs' four-month RERA extension advisory, covering projects with completion deadlines on or after 28 February 2026, continues to be implemented at the state level following TNRERA's formal circular and other state RERA actions.</w:t>
      </w:r>
    </w:p>
    <w:p>
      <w:pPr>
        <w:pStyle w:val="ListParagraph"/>
        <w:numPr>
          <w:ilvl w:val="0"/>
          <w:numId w:val="2"/>
        </w:numPr>
        <w:spacing w:after="80"/>
      </w:pPr>
      <w:r>
        <w:rPr>
          <w:b w:val="false"/>
          <w:bCs w:val="false"/>
        </w:rPr>
        <w:t xml:space="preserve">Karnataka's appointment of N Jayaram as a K-RERA member — ending an 18-month vacancy — signals gradual regulatory reconstitution even as the chairman post remains unfilled, a nuance CREDAI chapters nationally continue to monitor.</w:t>
      </w:r>
    </w:p>
    <w:p>
      <w:pPr>
        <w:pStyle w:val="ListParagraph"/>
        <w:numPr>
          <w:ilvl w:val="0"/>
          <w:numId w:val="2"/>
        </w:numPr>
        <w:spacing w:after="80"/>
      </w:pPr>
      <w:r>
        <w:rPr>
          <w:b w:val="false"/>
          <w:bCs w:val="false"/>
        </w:rPr>
        <w:t xml:space="preserve">Tamil Nadu's CMDA reforms and Karnataka's K-RERA bench strengthening together illustrate uneven but active governance modernisation across South India's state real estate regulators this month.</w:t>
      </w:r>
    </w:p>
    <w:p>
      <w:pPr>
        <w:spacing w:after="150"/>
      </w:pPr>
      <w:r>
        <w:rPr>
          <w:i/>
          <w:iCs/>
          <w:color w:val="595959"/>
          <w:sz w:val="18"/>
          <w:szCs w:val="18"/>
        </w:rPr>
        <w:t xml:space="preserve">Sources: Business Standard; North Block South Block/Deccan Herald; Verified.RealEstate.</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2026-08-21T03:40:24.990Z</dcterms:created>
  <dcterms:modified xsi:type="dcterms:W3CDTF">2026-08-21T03:40:25.005Z</dcterms:modified>
</cp:coreProperties>
</file>

<file path=docProps/custom.xml><?xml version="1.0" encoding="utf-8"?>
<Properties xmlns="http://schemas.openxmlformats.org/officeDocument/2006/custom-properties" xmlns:vt="http://schemas.openxmlformats.org/officeDocument/2006/docPropsVTypes"/>
</file>