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Friday, 25 September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Sarjapur Road pricing now ranges ₹7,200-10,500 per sq ft, with a new 100-acre township along the corridor offering 2-4 BHK apartments in a distinctive "no common wall" layout format.</w:t>
      </w:r>
    </w:p>
    <w:p>
      <w:pPr>
        <w:pStyle w:val="ListParagraph"/>
        <w:numPr>
          <w:ilvl w:val="0"/>
          <w:numId w:val="2"/>
        </w:numPr>
        <w:spacing w:after="80"/>
      </w:pPr>
      <w:r>
        <w:rPr>
          <w:b w:val="false"/>
          <w:bCs w:val="false"/>
        </w:rPr>
        <w:t xml:space="preserve">Devanahalli is drawing a 62-acre Mediterranean-inspired township with 2, 3 and 4 BHK apartments targeting frequent-traveller buyers, anchored by proximity to Kempegowda International Airport and upcoming metro stations.</w:t>
      </w:r>
    </w:p>
    <w:p>
      <w:pPr>
        <w:pStyle w:val="ListParagraph"/>
        <w:numPr>
          <w:ilvl w:val="0"/>
          <w:numId w:val="2"/>
        </w:numPr>
        <w:spacing w:after="80"/>
      </w:pPr>
      <w:r>
        <w:rPr>
          <w:b w:val="false"/>
          <w:bCs w:val="false"/>
        </w:rPr>
        <w:t xml:space="preserve">Prestige's earlier-phase plotted developments in Devanahalli have appreciated more than 40% since possession, reinforcing North Bengaluru's plotted-development track record for long-term investors.</w:t>
      </w:r>
    </w:p>
    <w:p>
      <w:pPr>
        <w:spacing w:after="150"/>
      </w:pPr>
      <w:r>
        <w:rPr>
          <w:i/>
          <w:iCs/>
          <w:color w:val="595959"/>
          <w:sz w:val="18"/>
          <w:szCs w:val="18"/>
        </w:rPr>
        <w:t xml:space="preserve">Sources: Banking Inputs/OneCityProperty (Sarjapur Road pricing, township launch); Wikipedia/Expedia (Devanahalli profile); Adarsh Developers/OneCityProperty (Prestige Devanahalli plot appreciation).</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Global Capability Centres accounted for 70% of Bengaluru's roughly 10.8 million sq ft of office absorption in H1 2026, the highest GCC share among India's top office markets.</w:t>
      </w:r>
    </w:p>
    <w:p>
      <w:pPr>
        <w:pStyle w:val="ListParagraph"/>
        <w:numPr>
          <w:ilvl w:val="0"/>
          <w:numId w:val="2"/>
        </w:numPr>
        <w:spacing w:after="80"/>
      </w:pPr>
      <w:r>
        <w:rPr>
          <w:b w:val="false"/>
          <w:bCs w:val="false"/>
        </w:rPr>
        <w:t xml:space="preserve">National GCC office leasing is projected to reach 60-65 million sq ft during 2026-27, a 15-20% increase over the preceding two-year period, with Bengaluru remaining the single largest beneficiary.</w:t>
      </w:r>
    </w:p>
    <w:p>
      <w:pPr>
        <w:pStyle w:val="ListParagraph"/>
        <w:numPr>
          <w:ilvl w:val="0"/>
          <w:numId w:val="2"/>
        </w:numPr>
        <w:spacing w:after="80"/>
      </w:pPr>
      <w:r>
        <w:rPr>
          <w:b w:val="false"/>
          <w:bCs w:val="false"/>
        </w:rPr>
        <w:t xml:space="preserve">Sarjapur Road and Devanahalli's continued residential launch activity is being reinforced by this GCC-driven office demand, sustaining end-user and investor interest across both corridors.</w:t>
      </w:r>
    </w:p>
    <w:p>
      <w:pPr>
        <w:spacing w:after="150"/>
      </w:pPr>
      <w:r>
        <w:rPr>
          <w:i/>
          <w:iCs/>
          <w:color w:val="595959"/>
          <w:sz w:val="18"/>
          <w:szCs w:val="18"/>
        </w:rPr>
        <w:t xml:space="preserve">Sources: Newkerala/Colliers (GCC share of Bengaluru absorption, 2026-27 leasing projection).</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The 2026 Greater Bengaluru Authority elections, due by 31 August 2026 under a Supreme Court order across the city's five newly formed City Corporations, mark the first municipal poll since 2015 and will determine who eventually replaces the current IAS administrators.</w:t>
      </w:r>
    </w:p>
    <w:p>
      <w:pPr>
        <w:pStyle w:val="ListParagraph"/>
        <w:numPr>
          <w:ilvl w:val="0"/>
          <w:numId w:val="2"/>
        </w:numPr>
        <w:spacing w:after="80"/>
      </w:pPr>
      <w:r>
        <w:rPr>
          <w:b w:val="false"/>
          <w:bCs w:val="false"/>
        </w:rPr>
        <w:t xml:space="preserve">GBA's new single-window approval system lets builders submit one integrated application instead of filing separately with multiple agencies, a reform expected to reduce bureaucratic delays and carrying costs for Bengaluru developers.</w:t>
      </w:r>
    </w:p>
    <w:p>
      <w:pPr>
        <w:pStyle w:val="ListParagraph"/>
        <w:numPr>
          <w:ilvl w:val="0"/>
          <w:numId w:val="2"/>
        </w:numPr>
        <w:spacing w:after="80"/>
      </w:pPr>
      <w:r>
        <w:rPr>
          <w:b w:val="false"/>
          <w:bCs w:val="false"/>
        </w:rPr>
        <w:t xml:space="preserve">CREDAI Karnataka is likely to welcome faster, more predictable GBA approvals as a long-sought fix for the jurisdictional overlap between BBMP and BDA that has historically slowed project registrations.</w:t>
      </w:r>
    </w:p>
    <w:p>
      <w:pPr>
        <w:spacing w:after="150"/>
      </w:pPr>
      <w:r>
        <w:rPr>
          <w:i/>
          <w:iCs/>
          <w:color w:val="595959"/>
          <w:sz w:val="18"/>
          <w:szCs w:val="18"/>
        </w:rPr>
        <w:t xml:space="preserve">Sources: Wikipedia (2026 GBA elections); Sterling Developers/Indecimal (GBA single-window approval reform).</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Chennai's OMR corridor continues to average around ₹7,250 per sq ft with a 6% rental yield — among the city's highest — driven by consistent demand from IT professionals working in the corridor's technology parks.</w:t>
      </w:r>
    </w:p>
    <w:p>
      <w:pPr>
        <w:pStyle w:val="ListParagraph"/>
        <w:numPr>
          <w:ilvl w:val="0"/>
          <w:numId w:val="2"/>
        </w:numPr>
        <w:spacing w:after="80"/>
      </w:pPr>
      <w:r>
        <w:rPr>
          <w:b w:val="false"/>
          <w:bCs w:val="false"/>
        </w:rPr>
        <w:t xml:space="preserve">Porur has climbed to roughly ₹7,990 per sq ft as of the April-June 2026 quarter (Magicbricks data), up sharply from around ₹5,800 per sq ft in 2020, reflecting sustained west Chennai appreciation.</w:t>
      </w:r>
    </w:p>
    <w:p>
      <w:pPr>
        <w:pStyle w:val="ListParagraph"/>
        <w:numPr>
          <w:ilvl w:val="0"/>
          <w:numId w:val="2"/>
        </w:numPr>
        <w:spacing w:after="80"/>
      </w:pPr>
      <w:r>
        <w:rPr>
          <w:b w:val="false"/>
          <w:bCs w:val="false"/>
        </w:rPr>
        <w:t xml:space="preserve">Visakhapatnam's housing market is projected to grow 6-10% in 2026, with North Vizag localities — Madhurawada, Kommadi, Paradesipalem, Boyapalem and Anandapuram — emerging as prime residential investment destinations.</w:t>
      </w:r>
    </w:p>
    <w:p>
      <w:pPr>
        <w:pStyle w:val="ListParagraph"/>
        <w:numPr>
          <w:ilvl w:val="0"/>
          <w:numId w:val="2"/>
        </w:numPr>
        <w:spacing w:after="80"/>
      </w:pPr>
      <w:r>
        <w:rPr>
          <w:b w:val="false"/>
          <w:bCs w:val="false"/>
        </w:rPr>
        <w:t xml:space="preserve">Brigade Enterprises has entered Coimbatore's housing market with its first residential project in the city, targeting an estimated ₹600 crore in revenue from the launch.</w:t>
      </w:r>
    </w:p>
    <w:p>
      <w:pPr>
        <w:spacing w:after="150"/>
      </w:pPr>
      <w:r>
        <w:rPr>
          <w:i/>
          <w:iCs/>
          <w:color w:val="595959"/>
          <w:sz w:val="18"/>
          <w:szCs w:val="18"/>
        </w:rPr>
        <w:t xml:space="preserve">Sources: NoBroker/LiveHomes (Chennai OMR, Porur pricing); RP Realty Plus (Visakhapatnam 2026 growth outlook, North Vizag hotspots); Business Standard (Brigade Coimbatore foray).</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State Investment Promotion Board has approved K Raheja Corp's ₹2,172.28 crore mixed-use project in Visakhapatnam, with the developer allotted 27 acres for combined commercial and residential development.</w:t>
      </w:r>
    </w:p>
    <w:p>
      <w:pPr>
        <w:pStyle w:val="ListParagraph"/>
        <w:numPr>
          <w:ilvl w:val="0"/>
          <w:numId w:val="2"/>
        </w:numPr>
        <w:spacing w:after="80"/>
      </w:pPr>
      <w:r>
        <w:rPr>
          <w:b w:val="false"/>
          <w:bCs w:val="false"/>
        </w:rPr>
        <w:t xml:space="preserve">Vizag's growth is being reinforced by large infrastructure catalysts including a new Google data centre, Cognizant's expansion and the upcoming Alluri Sitarama Raju International Airport at Bhogapuram, drawing developer interest from Prestige Group and RMZ.</w:t>
      </w:r>
    </w:p>
    <w:p>
      <w:pPr>
        <w:pStyle w:val="ListParagraph"/>
        <w:numPr>
          <w:ilvl w:val="0"/>
          <w:numId w:val="2"/>
        </w:numPr>
        <w:spacing w:after="80"/>
      </w:pPr>
      <w:r>
        <w:rPr>
          <w:b w:val="false"/>
          <w:bCs w:val="false"/>
        </w:rPr>
        <w:t xml:space="preserve">GCCs accounted for 55% of Chennai's roughly 3.2 million sq ft of H1 2026 office absorption, reinforcing the OMR corridor's continued pull for technology and back-office occupiers.</w:t>
      </w:r>
    </w:p>
    <w:p>
      <w:pPr>
        <w:spacing w:after="150"/>
      </w:pPr>
      <w:r>
        <w:rPr>
          <w:i/>
          <w:iCs/>
          <w:color w:val="595959"/>
          <w:sz w:val="18"/>
          <w:szCs w:val="18"/>
        </w:rPr>
        <w:t xml:space="preserve">Sources: RP Realty Plus/M9 News (K Raheja Corp Vizag project, infrastructure catalysts); Newkerala/Colliers (Chennai GCC absorption share).</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Andhra Pradesh is likely to track K Raheja Corp's large-format Vizag project approval as a fresh institutional-investment benchmark for the state's secondary-city real estate market.</w:t>
      </w:r>
    </w:p>
    <w:p>
      <w:pPr>
        <w:pStyle w:val="ListParagraph"/>
        <w:numPr>
          <w:ilvl w:val="0"/>
          <w:numId w:val="2"/>
        </w:numPr>
        <w:spacing w:after="80"/>
      </w:pPr>
      <w:r>
        <w:rPr>
          <w:b w:val="false"/>
          <w:bCs w:val="false"/>
        </w:rPr>
        <w:t xml:space="preserve">CREDAI Tamil Nadu continues to monitor Brigade's Coimbatore entry as evidence of established Bengaluru- and Chennai-anchored developers expanding into Tier-2 Tamil Nadu markets.</w:t>
      </w:r>
    </w:p>
    <w:p>
      <w:pPr>
        <w:pStyle w:val="ListParagraph"/>
        <w:numPr>
          <w:ilvl w:val="0"/>
          <w:numId w:val="2"/>
        </w:numPr>
        <w:spacing w:after="80"/>
      </w:pPr>
      <w:r>
        <w:rPr>
          <w:b w:val="false"/>
          <w:bCs w:val="false"/>
        </w:rPr>
        <w:t xml:space="preserve">Continued GCC-driven office absorption across Chennai is expected to keep Tamil Nadu's RERA authority focused on timely registration for large mixed-use and IT-linked developments along OMR.</w:t>
      </w:r>
    </w:p>
    <w:p>
      <w:pPr>
        <w:spacing w:after="150"/>
      </w:pPr>
      <w:r>
        <w:rPr>
          <w:i/>
          <w:iCs/>
          <w:color w:val="595959"/>
          <w:sz w:val="18"/>
          <w:szCs w:val="18"/>
        </w:rPr>
        <w:t xml:space="preserve">Sources: RP Realty Plus/M9 News; Business Standard; Newkerala/Colliers.</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The RBI held its repo rate at 5.25% at its August 2026 policy review, with lenders having already cut rates by a cumulative 125 basis points since 2025, meaningfully lowering borrower EMIs nationally.</w:t>
      </w:r>
    </w:p>
    <w:p>
      <w:pPr>
        <w:pStyle w:val="ListParagraph"/>
        <w:numPr>
          <w:ilvl w:val="0"/>
          <w:numId w:val="2"/>
        </w:numPr>
        <w:spacing w:after="80"/>
      </w:pPr>
      <w:r>
        <w:rPr>
          <w:b w:val="false"/>
          <w:bCs w:val="false"/>
        </w:rPr>
        <w:t xml:space="preserve">Home loan rates hovering at 7.1-7.5% in 2026 have encouraged long-term capital allocation into residential assets, with a standard ₹50 lakh housing loan now carrying an EMI nearly ₹4,000 lower than peak levels.</w:t>
      </w:r>
    </w:p>
    <w:p>
      <w:pPr>
        <w:pStyle w:val="ListParagraph"/>
        <w:numPr>
          <w:ilvl w:val="0"/>
          <w:numId w:val="2"/>
        </w:numPr>
        <w:spacing w:after="80"/>
      </w:pPr>
      <w:r>
        <w:rPr>
          <w:b w:val="false"/>
          <w:bCs w:val="false"/>
        </w:rPr>
        <w:t xml:space="preserve">Industry stakeholders say the steady rate environment is boosting customer footfall and enquiries specifically in the affordable and mid-income housing segments across major cities.</w:t>
      </w:r>
    </w:p>
    <w:p>
      <w:pPr>
        <w:spacing w:after="150"/>
      </w:pPr>
      <w:r>
        <w:rPr>
          <w:i/>
          <w:iCs/>
          <w:color w:val="595959"/>
          <w:sz w:val="18"/>
          <w:szCs w:val="18"/>
        </w:rPr>
        <w:t xml:space="preserve">Sources: BusinessToday (RBI repo rate hold, August 2026); Upstox/Business Standard (EMI reduction, affordable-segment footfall impact).</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Global Capability Centres leased 19.2 million sq ft in H1 2026, accounting for 45% of gross office leasing across India's top seven cities, led by Bengaluru (70% GCC share), Chennai (55%) and Hyderabad (48%).</w:t>
      </w:r>
    </w:p>
    <w:p>
      <w:pPr>
        <w:pStyle w:val="ListParagraph"/>
        <w:numPr>
          <w:ilvl w:val="0"/>
          <w:numId w:val="2"/>
        </w:numPr>
        <w:spacing w:after="80"/>
      </w:pPr>
      <w:r>
        <w:rPr>
          <w:b w:val="false"/>
          <w:bCs w:val="false"/>
        </w:rPr>
        <w:t xml:space="preserve">Hyderabad's GCC base has grown to over 515 centres employing more than 3 lakh professionals, nearly 20% of India's total GCC footprint, after adding 70-plus new GCCs in FY25 — the highest among major GCC destinations.</w:t>
      </w:r>
    </w:p>
    <w:p>
      <w:pPr>
        <w:pStyle w:val="ListParagraph"/>
        <w:numPr>
          <w:ilvl w:val="0"/>
          <w:numId w:val="2"/>
        </w:numPr>
        <w:spacing w:after="80"/>
      </w:pPr>
      <w:r>
        <w:rPr>
          <w:b w:val="false"/>
          <w:bCs w:val="false"/>
        </w:rPr>
        <w:t xml:space="preserve">ICRA projects net office absorption across India's six major cities will hit a record high in FY26, reinforcing developer and REIT confidence even as GCC-driven demand increasingly concentrates in a handful of metros.</w:t>
      </w:r>
    </w:p>
    <w:p>
      <w:pPr>
        <w:spacing w:after="150"/>
      </w:pPr>
      <w:r>
        <w:rPr>
          <w:i/>
          <w:iCs/>
          <w:color w:val="595959"/>
          <w:sz w:val="18"/>
          <w:szCs w:val="18"/>
        </w:rPr>
        <w:t xml:space="preserve">Sources: Newkerala/Colliers (GCC leasing share, city-wise breakdown); Bizz Buzz/Business News This Week (Hyderabad GCC base); Business Standard (ICRA FY26 absorption forecast).</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 and NAREDCO are likely to welcome the RBI's steady 5.25% repo rate and the resulting EMI relief as a continued tailwind for affordable and mid-income housing demand nationally.</w:t>
      </w:r>
    </w:p>
    <w:p>
      <w:pPr>
        <w:pStyle w:val="ListParagraph"/>
        <w:numPr>
          <w:ilvl w:val="0"/>
          <w:numId w:val="2"/>
        </w:numPr>
        <w:spacing w:after="80"/>
      </w:pPr>
      <w:r>
        <w:rPr>
          <w:b w:val="false"/>
          <w:bCs w:val="false"/>
        </w:rPr>
        <w:t xml:space="preserve">Karnataka's move toward single-window project approvals under the Greater Bengaluru Authority, with elections due by 31 August 2026 under Supreme Court order, is being watched by CREDAI chapters nationally as a potential template for cutting approval timelines elsewhere.</w:t>
      </w:r>
    </w:p>
    <w:p>
      <w:pPr>
        <w:pStyle w:val="ListParagraph"/>
        <w:numPr>
          <w:ilvl w:val="0"/>
          <w:numId w:val="2"/>
        </w:numPr>
        <w:spacing w:after="80"/>
      </w:pPr>
      <w:r>
        <w:rPr>
          <w:b w:val="false"/>
          <w:bCs w:val="false"/>
        </w:rPr>
        <w:t xml:space="preserve">Record projected office absorption in FY26, alongside continued GCC concentration in Bengaluru, Chennai and Hyderabad, is expected to keep CREDAI and NAREDCO focused on aligning state RERA registration timelines with large-format commercial project delivery.</w:t>
      </w:r>
    </w:p>
    <w:p>
      <w:pPr>
        <w:spacing w:after="150"/>
      </w:pPr>
      <w:r>
        <w:rPr>
          <w:i/>
          <w:iCs/>
          <w:color w:val="595959"/>
          <w:sz w:val="18"/>
          <w:szCs w:val="18"/>
        </w:rPr>
        <w:t xml:space="preserve">Sources: BusinessToday; Business Standard; Wikipedia (2026 GBA elections).</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2026-09-25T03:38:33.441Z</dcterms:created>
  <dcterms:modified xsi:type="dcterms:W3CDTF">2026-09-25T03:38:33.452Z</dcterms:modified>
</cp:coreProperties>
</file>

<file path=docProps/custom.xml><?xml version="1.0" encoding="utf-8"?>
<Properties xmlns="http://schemas.openxmlformats.org/officeDocument/2006/custom-properties" xmlns:vt="http://schemas.openxmlformats.org/officeDocument/2006/docPropsVTypes"/>
</file>