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28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unsold housing inventory reached 84,000 units by the end of the June quarter, pushing the city past Mumbai for the first time to India's second-highest residential inventory overhang — a caution signal even as sales activity remains resilient.</w:t>
      </w:r>
    </w:p>
    <w:p>
      <w:pPr>
        <w:pStyle w:val="ListParagraph"/>
        <w:numPr>
          <w:ilvl w:val="0"/>
          <w:numId w:val="2"/>
        </w:numPr>
        <w:spacing w:after="80"/>
      </w:pPr>
      <w:r>
        <w:rPr>
          <w:b w:val="false"/>
          <w:bCs w:val="false"/>
        </w:rPr>
        <w:t xml:space="preserve">Tata Housing's Varnam Phase I, part of the 135-acre Carnatica integrated township in North Bengaluru, has notched ₹1,000 crore in sales since its August 2025 launch.</w:t>
      </w:r>
    </w:p>
    <w:p>
      <w:pPr>
        <w:pStyle w:val="ListParagraph"/>
        <w:numPr>
          <w:ilvl w:val="0"/>
          <w:numId w:val="2"/>
        </w:numPr>
        <w:spacing w:after="80"/>
      </w:pPr>
      <w:r>
        <w:rPr>
          <w:b w:val="false"/>
          <w:bCs w:val="false"/>
        </w:rPr>
        <w:t xml:space="preserve">Sanjeevini Group expects ~₹1,200 crore in revenue from its new luxury project "The Adwaith" at Gunjur in East Bengaluru — an 8.3-acre, 668-unit development.</w:t>
      </w:r>
    </w:p>
    <w:p>
      <w:pPr>
        <w:spacing w:after="150"/>
      </w:pPr>
      <w:r>
        <w:rPr>
          <w:i/>
          <w:iCs/>
          <w:color w:val="595959"/>
          <w:sz w:val="18"/>
          <w:szCs w:val="18"/>
        </w:rPr>
        <w:t xml:space="preserve">Sources: Business Standard/Deccan Herald; Business Standard (Tata Housing); Business Standard (Sanjeevini Group).</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continued to lead India's commercial property market in H1 2026, with companies leasing 14.1 million sq ft, and posted 5.6 million sq ft of gross office leasing in Q2 2026 driven by robust GCC activity.</w:t>
      </w:r>
    </w:p>
    <w:p>
      <w:pPr>
        <w:pStyle w:val="ListParagraph"/>
        <w:numPr>
          <w:ilvl w:val="0"/>
          <w:numId w:val="2"/>
        </w:numPr>
        <w:spacing w:after="80"/>
      </w:pPr>
      <w:r>
        <w:rPr>
          <w:b w:val="false"/>
          <w:bCs w:val="false"/>
        </w:rPr>
        <w:t xml:space="preserve">Bengaluru logged ~1.9 million sq ft of warehouse leasing in H2 2025, led by strong activity in Hoskote and Nelamangala, with 3PL (41%) and retail (30%) the key demand drivers.</w:t>
      </w:r>
    </w:p>
    <w:p>
      <w:pPr>
        <w:pStyle w:val="ListParagraph"/>
        <w:numPr>
          <w:ilvl w:val="0"/>
          <w:numId w:val="2"/>
        </w:numPr>
        <w:spacing w:after="80"/>
      </w:pPr>
      <w:r>
        <w:rPr>
          <w:b w:val="false"/>
          <w:bCs w:val="false"/>
        </w:rPr>
        <w:t xml:space="preserve">Construction costs are projected to rise 3–5% across all asset classes nationally in 2026, driven by higher labour and input costs — a trend bearing directly on Bengaluru's active commercial and residential pipeline.</w:t>
      </w:r>
    </w:p>
    <w:p>
      <w:pPr>
        <w:spacing w:after="150"/>
      </w:pPr>
      <w:r>
        <w:rPr>
          <w:i/>
          <w:iCs/>
          <w:color w:val="595959"/>
          <w:sz w:val="18"/>
          <w:szCs w:val="18"/>
        </w:rPr>
        <w:t xml:space="preserve">Sources: Cushman &amp; Wakefield Bengaluru MarketBeat; Business Standard.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moved to penalise builders who failed to submit mandatory Annual Audit Reports for FY2024-25 under Section 4(2)(l)(D) of the RERA Act, after repeated deadline extensions (to September 12, November 15 and December 12) saw poor compliance.</w:t>
      </w:r>
    </w:p>
    <w:p>
      <w:pPr>
        <w:pStyle w:val="ListParagraph"/>
        <w:numPr>
          <w:ilvl w:val="0"/>
          <w:numId w:val="2"/>
        </w:numPr>
        <w:spacing w:after="80"/>
      </w:pPr>
      <w:r>
        <w:rPr>
          <w:b w:val="false"/>
          <w:bCs w:val="false"/>
        </w:rPr>
        <w:t xml:space="preserve">K-RERA has introduced a developer rating system based on project completion history and customer feedback, aimed at strengthening transparency and accountability across the state's real estate sector.</w:t>
      </w:r>
    </w:p>
    <w:p>
      <w:pPr>
        <w:pStyle w:val="ListParagraph"/>
        <w:numPr>
          <w:ilvl w:val="0"/>
          <w:numId w:val="2"/>
        </w:numPr>
        <w:spacing w:after="80"/>
      </w:pPr>
      <w:r>
        <w:rPr>
          <w:b w:val="false"/>
          <w:bCs w:val="false"/>
        </w:rPr>
        <w:t xml:space="preserve">K-RERA has now registered over 8,357 projects and more than 5,417 real estate agents, making it one of the most active state RERA implementations in the country.</w:t>
      </w:r>
    </w:p>
    <w:p>
      <w:pPr>
        <w:spacing w:after="150"/>
      </w:pPr>
      <w:r>
        <w:rPr>
          <w:i/>
          <w:iCs/>
          <w:color w:val="595959"/>
          <w:sz w:val="18"/>
          <w:szCs w:val="18"/>
        </w:rPr>
        <w:t xml:space="preserve">Sources: The Hans India; TeamLease RegTech; Dwello.</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recorded ~3,700 residential launches in Q1 2026, with Suburban South II leading at a 38% share, followed by Suburban West (18%) and Suburban North (17%).</w:t>
      </w:r>
    </w:p>
    <w:p>
      <w:pPr>
        <w:pStyle w:val="ListParagraph"/>
        <w:numPr>
          <w:ilvl w:val="0"/>
          <w:numId w:val="2"/>
        </w:numPr>
        <w:spacing w:after="80"/>
      </w:pPr>
      <w:r>
        <w:rPr>
          <w:b w:val="false"/>
          <w:bCs w:val="false"/>
        </w:rPr>
        <w:t xml:space="preserve">Chennai's housing sales more than doubled to 7,862 units in the July–September period, up from 3,560 units a year earlier.</w:t>
      </w:r>
    </w:p>
    <w:p>
      <w:pPr>
        <w:pStyle w:val="ListParagraph"/>
        <w:numPr>
          <w:ilvl w:val="0"/>
          <w:numId w:val="2"/>
        </w:numPr>
        <w:spacing w:after="80"/>
      </w:pPr>
      <w:r>
        <w:rPr>
          <w:b w:val="false"/>
          <w:bCs w:val="false"/>
        </w:rPr>
        <w:t xml:space="preserve">Hyderabad's residential sales grew 53% to 17,658 units in the same period, up from 11,564 units a year earlier; combined, Hyderabad, Bengaluru and Chennai posted a 47% rise in housing sales in the quarter.</w:t>
      </w:r>
    </w:p>
    <w:p>
      <w:pPr>
        <w:spacing w:after="150"/>
      </w:pPr>
      <w:r>
        <w:rPr>
          <w:i/>
          <w:iCs/>
          <w:color w:val="595959"/>
          <w:sz w:val="18"/>
          <w:szCs w:val="18"/>
        </w:rPr>
        <w:t xml:space="preserve">Sources: 99acres; Business Standard/PropTiger.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Chennai's office market recorded gross leasing of ~1.66 million sq ft in Q1 2026, with GCCs accounting for a record 55% of quarterly leasing.</w:t>
      </w:r>
    </w:p>
    <w:p>
      <w:pPr>
        <w:pStyle w:val="ListParagraph"/>
        <w:numPr>
          <w:ilvl w:val="0"/>
          <w:numId w:val="2"/>
        </w:numPr>
        <w:spacing w:after="80"/>
      </w:pPr>
      <w:r>
        <w:rPr>
          <w:b w:val="false"/>
          <w:bCs w:val="false"/>
        </w:rPr>
        <w:t xml:space="preserve">Brigade Group continues to expand its footprint across South India, with active projects in Bengaluru, Chennai, Hyderabad, Mysuru, Kochi, Trivandrum and GIFT City — underscoring continued developer commitment beyond the traditional big-three metros.</w:t>
      </w:r>
    </w:p>
    <w:p>
      <w:pPr>
        <w:pStyle w:val="ListParagraph"/>
        <w:numPr>
          <w:ilvl w:val="0"/>
          <w:numId w:val="2"/>
        </w:numPr>
        <w:spacing w:after="80"/>
      </w:pPr>
      <w:r>
        <w:rPr>
          <w:b w:val="false"/>
          <w:bCs w:val="false"/>
        </w:rPr>
        <w:t xml:space="preserve">GCC-led office demand remains the dominant theme across South India's commercial real estate markets, consistent with trends already visible in Bengaluru and Hyderabad.</w:t>
      </w:r>
    </w:p>
    <w:p>
      <w:pPr>
        <w:spacing w:after="150"/>
      </w:pPr>
      <w:r>
        <w:rPr>
          <w:i/>
          <w:iCs/>
          <w:color w:val="595959"/>
          <w:sz w:val="18"/>
          <w:szCs w:val="18"/>
        </w:rPr>
        <w:t xml:space="preserve">Sources: 99acres; Brigade Group.</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Karnataka's RERA circular tracker continues to monitor state-level regulatory notifications, reflecting the chapter's ongoing role in helping developers stay compliant with K-RERA's evolving audit and reporting requirements.</w:t>
      </w:r>
    </w:p>
    <w:p>
      <w:pPr>
        <w:pStyle w:val="ListParagraph"/>
        <w:numPr>
          <w:ilvl w:val="0"/>
          <w:numId w:val="2"/>
        </w:numPr>
        <w:spacing w:after="80"/>
      </w:pPr>
      <w:r>
        <w:rPr>
          <w:b w:val="false"/>
          <w:bCs w:val="false"/>
        </w:rPr>
        <w:t xml:space="preserve">CREDAI's national push for a 3–6 month RERA project-completion extension, citing construction and supply-chain challenges, remains directly relevant to developers across Tamil Nadu, Telangana and Karnataka managing similar audit and compliance timelines.</w:t>
      </w:r>
    </w:p>
    <w:p>
      <w:pPr>
        <w:pStyle w:val="ListParagraph"/>
        <w:numPr>
          <w:ilvl w:val="0"/>
          <w:numId w:val="2"/>
        </w:numPr>
        <w:spacing w:after="80"/>
      </w:pPr>
      <w:r>
        <w:rPr>
          <w:b w:val="false"/>
          <w:bCs w:val="false"/>
        </w:rPr>
        <w:t xml:space="preserve">CREDAI continues to advocate for higher affordable-housing price caps and stronger financing access — asks with direct relevance to South India's fast-growing but increasingly cost-pressured residential markets.</w:t>
      </w:r>
    </w:p>
    <w:p>
      <w:pPr>
        <w:spacing w:after="150"/>
      </w:pPr>
      <w:r>
        <w:rPr>
          <w:i/>
          <w:iCs/>
          <w:color w:val="595959"/>
          <w:sz w:val="18"/>
          <w:szCs w:val="18"/>
        </w:rPr>
        <w:t xml:space="preserve">Sources: CREDAI Karnataka; Outlook Money;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Bengaluru and Chennai's combined 47% rise in housing sales during the July–September period reflects continued national resilience in housing demand even as individual cities show diverging inventory and pricing trends.</w:t>
      </w:r>
    </w:p>
    <w:p>
      <w:pPr>
        <w:pStyle w:val="ListParagraph"/>
        <w:numPr>
          <w:ilvl w:val="0"/>
          <w:numId w:val="2"/>
        </w:numPr>
        <w:spacing w:after="80"/>
      </w:pPr>
      <w:r>
        <w:rPr>
          <w:b w:val="false"/>
          <w:bCs w:val="false"/>
        </w:rPr>
        <w:t xml:space="preserve">Bengaluru crossing Mumbai in unsold housing inventory (84,000 units) is a notable national data point, signalling that even India's strongest-performing residential markets are not immune to oversupply risk.</w:t>
      </w:r>
    </w:p>
    <w:p>
      <w:pPr>
        <w:pStyle w:val="ListParagraph"/>
        <w:numPr>
          <w:ilvl w:val="0"/>
          <w:numId w:val="2"/>
        </w:numPr>
        <w:spacing w:after="80"/>
      </w:pPr>
      <w:r>
        <w:rPr>
          <w:b w:val="false"/>
          <w:bCs w:val="false"/>
        </w:rPr>
        <w:t xml:space="preserve">CREDAI's Union Budget 2026-27 recommendations continue to call for stronger housing affordability measures, expanded access to finance, and sustained supply across residential segments nationally.</w:t>
      </w:r>
    </w:p>
    <w:p>
      <w:pPr>
        <w:spacing w:after="150"/>
      </w:pPr>
      <w:r>
        <w:rPr>
          <w:i/>
          <w:iCs/>
          <w:color w:val="595959"/>
          <w:sz w:val="18"/>
          <w:szCs w:val="18"/>
        </w:rPr>
        <w:t xml:space="preserve">Sources: Business Standard/Deccan Herald; Business Standard/PropTiger; CREDAI (credai.org).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Construction costs are projected to rise 3–5% across all asset classes nationally in 2026, driven by higher labour and input costs — a factor likely to affect commercial, industrial and residential development pricing alike.</w:t>
      </w:r>
    </w:p>
    <w:p>
      <w:pPr>
        <w:pStyle w:val="ListParagraph"/>
        <w:numPr>
          <w:ilvl w:val="0"/>
          <w:numId w:val="2"/>
        </w:numPr>
        <w:spacing w:after="80"/>
      </w:pPr>
      <w:r>
        <w:rPr>
          <w:b w:val="false"/>
          <w:bCs w:val="false"/>
        </w:rPr>
        <w:t xml:space="preserve">GCC-led office demand remains the single largest driver of India's commercial leasing story nationally, with Bengaluru, Chennai and Hyderabad all posting GCC shares above 50% of quarterly leasing in several recent quarters.</w:t>
      </w:r>
    </w:p>
    <w:p>
      <w:pPr>
        <w:pStyle w:val="ListParagraph"/>
        <w:numPr>
          <w:ilvl w:val="0"/>
          <w:numId w:val="2"/>
        </w:numPr>
        <w:spacing w:after="80"/>
      </w:pPr>
      <w:r>
        <w:rPr>
          <w:b w:val="false"/>
          <w:bCs w:val="false"/>
        </w:rPr>
        <w:t xml:space="preserve">Bengaluru's continued leadership in national commercial leasing (14.1 million sq ft in H1 2026) reflects sustained occupier confidence even as residential inventory concerns grow in the same city.</w:t>
      </w:r>
    </w:p>
    <w:p>
      <w:pPr>
        <w:spacing w:after="150"/>
      </w:pPr>
      <w:r>
        <w:rPr>
          <w:i/>
          <w:iCs/>
          <w:color w:val="595959"/>
          <w:sz w:val="18"/>
          <w:szCs w:val="18"/>
        </w:rPr>
        <w:t xml:space="preserve">Sources: Business Standard; Cushman &amp; Wakefield Bengaluru MarketBeat; 99acres.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has sought a hike in the affordable-housing price cap to ₹90 lakh (from ₹45 lakh) ahead of the Union Budget, citing inflation and rising construction costs as key drivers of the outdated threshold.</w:t>
      </w:r>
    </w:p>
    <w:p>
      <w:pPr>
        <w:pStyle w:val="ListParagraph"/>
        <w:numPr>
          <w:ilvl w:val="0"/>
          <w:numId w:val="2"/>
        </w:numPr>
        <w:spacing w:after="80"/>
      </w:pPr>
      <w:r>
        <w:rPr>
          <w:b w:val="false"/>
          <w:bCs w:val="false"/>
        </w:rPr>
        <w:t xml:space="preserve">CREDAI has also sought a 3–6 month RERA extension nationally to help developers maintain compliance amid construction and supply-chain challenges, while protecting homebuyers through structured project completion.</w:t>
      </w:r>
    </w:p>
    <w:p>
      <w:pPr>
        <w:pStyle w:val="ListParagraph"/>
        <w:numPr>
          <w:ilvl w:val="0"/>
          <w:numId w:val="2"/>
        </w:numPr>
        <w:spacing w:after="80"/>
      </w:pPr>
      <w:r>
        <w:rPr>
          <w:b w:val="false"/>
          <w:bCs w:val="false"/>
        </w:rPr>
        <w:t xml:space="preserve">RERA's national framework now spans more than 1.55 lakh registered projects and 1.10 lakh developers, with Union Home Minister Amit Shah recently reiterating real estate's central role in India's Viksit Bharat vision as urbanisation is projected to reach ~50% by 2047.</w:t>
      </w:r>
    </w:p>
    <w:p>
      <w:pPr>
        <w:spacing w:after="150"/>
      </w:pPr>
      <w:r>
        <w:rPr>
          <w:i/>
          <w:iCs/>
          <w:color w:val="595959"/>
          <w:sz w:val="18"/>
          <w:szCs w:val="18"/>
        </w:rPr>
        <w:t xml:space="preserve">Sources: Deccan Herald; Outlook Money; DD News.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2026-07-28T03:40:33.276Z</dcterms:created>
  <dcterms:modified xsi:type="dcterms:W3CDTF">2026-07-28T03:40:33.295Z</dcterms:modified>
</cp:coreProperties>
</file>

<file path=docProps/custom.xml><?xml version="1.0" encoding="utf-8"?>
<Properties xmlns="http://schemas.openxmlformats.org/officeDocument/2006/custom-properties" xmlns:vt="http://schemas.openxmlformats.org/officeDocument/2006/docPropsVTypes"/>
</file>