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Sunday, 16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Yelahanka has emerged as North Bengaluru's real estate nucleus, delivering 7–10% annual price appreciation and 3.5–4% rental yields, with the upcoming Metro Blue Line station (completion targeted June 2026) set to link the locality seamlessly to central Bengaluru.</w:t>
      </w:r>
    </w:p>
    <w:p>
      <w:pPr>
        <w:pStyle w:val="ListParagraph"/>
        <w:numPr>
          <w:ilvl w:val="0"/>
          <w:numId w:val="2"/>
        </w:numPr>
        <w:spacing w:after="80"/>
      </w:pPr>
      <w:r>
        <w:rPr>
          <w:b w:val="false"/>
          <w:bCs w:val="false"/>
        </w:rPr>
        <w:t xml:space="preserve">India's first fully elevated railway terminal, a ₹6,000 crore project with 16 platforms inspired by Hangzhou's vertical-station design, is coming up at Yelahanka, adding to the corridor's long-term infrastructure appeal.</w:t>
      </w:r>
    </w:p>
    <w:p>
      <w:pPr>
        <w:pStyle w:val="ListParagraph"/>
        <w:numPr>
          <w:ilvl w:val="0"/>
          <w:numId w:val="2"/>
        </w:numPr>
        <w:spacing w:after="80"/>
      </w:pPr>
      <w:r>
        <w:rPr>
          <w:b w:val="false"/>
          <w:bCs w:val="false"/>
        </w:rPr>
        <w:t xml:space="preserve">Over 50,000 IT and GCC jobs were added in North Bengaluru in Q3 2025 alone, with a significant share of these employees opting to live in Yelahanka for its greener, quieter environment relative to established IT corridors.</w:t>
      </w:r>
    </w:p>
    <w:p>
      <w:pPr>
        <w:spacing w:after="150"/>
      </w:pPr>
      <w:r>
        <w:rPr>
          <w:i/>
          <w:iCs/>
          <w:color w:val="595959"/>
          <w:sz w:val="18"/>
          <w:szCs w:val="18"/>
        </w:rPr>
        <w:t xml:space="preserve">Sources: NewsFirstPrime (Yelahanka real estate nucleus); SquareYards (Yelahanka price/yield data, elevated terminal).</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Karnataka government has approved the Bengaluru Business Corridor (BBC), a ₹27,000 crore, 117 km infrastructure project designed to cut city traffic by up to 40%, connecting Tumakuru Road, Yelahanka, Whitefield, Electronic City and Mysuru Road within an estimated two-year construction timeline.</w:t>
      </w:r>
    </w:p>
    <w:p>
      <w:pPr>
        <w:pStyle w:val="ListParagraph"/>
        <w:numPr>
          <w:ilvl w:val="0"/>
          <w:numId w:val="2"/>
        </w:numPr>
        <w:spacing w:after="80"/>
      </w:pPr>
      <w:r>
        <w:rPr>
          <w:b w:val="false"/>
          <w:bCs w:val="false"/>
        </w:rPr>
        <w:t xml:space="preserve">The Namma Metro Yellow Line, a 19 km elevated corridor linking RV Road and Bommasandra via Electronic City, has been fully operational since August 2025, with all 16 stations now running at roughly 10-minute peak-hour frequency, enhancing southern Bengaluru's commercial and residential connectivity.</w:t>
      </w:r>
    </w:p>
    <w:p>
      <w:pPr>
        <w:pStyle w:val="ListParagraph"/>
        <w:numPr>
          <w:ilvl w:val="0"/>
          <w:numId w:val="2"/>
        </w:numPr>
        <w:spacing w:after="80"/>
      </w:pPr>
      <w:r>
        <w:rPr>
          <w:b w:val="false"/>
          <w:bCs w:val="false"/>
        </w:rPr>
        <w:t xml:space="preserve">The BBC's multi-corridor design linking North, East, South and West Bengaluru is expected to unlock significant new commercial and industrial real estate value along its route once construction begins.</w:t>
      </w:r>
    </w:p>
    <w:p>
      <w:pPr>
        <w:spacing w:after="150"/>
      </w:pPr>
      <w:r>
        <w:rPr>
          <w:i/>
          <w:iCs/>
          <w:color w:val="595959"/>
          <w:sz w:val="18"/>
          <w:szCs w:val="18"/>
        </w:rPr>
        <w:t xml:space="preserve">Sources: SquareYards (Bengaluru Business Corridor approval); Wikipedia (Electronic City Yellow Line status).</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 continues to operate without a permanent chairman following H.C. Kishore Chandra's retirement, with the state government yet to confirm a timeline for the succession process.</w:t>
      </w:r>
    </w:p>
    <w:p>
      <w:pPr>
        <w:pStyle w:val="ListParagraph"/>
        <w:numPr>
          <w:ilvl w:val="0"/>
          <w:numId w:val="2"/>
        </w:numPr>
        <w:spacing w:after="80"/>
      </w:pPr>
      <w:r>
        <w:rPr>
          <w:b w:val="false"/>
          <w:bCs w:val="false"/>
        </w:rPr>
        <w:t xml:space="preserve">CREDAI Karnataka continues to track the Bengaluru Business Corridor and Yelahanka's elevated-terminal project as major infrastructure developments with long-term implications for regulatory approvals and project registrations across North Bengaluru.</w:t>
      </w:r>
    </w:p>
    <w:p>
      <w:pPr>
        <w:pStyle w:val="ListParagraph"/>
        <w:numPr>
          <w:ilvl w:val="0"/>
          <w:numId w:val="2"/>
        </w:numPr>
        <w:spacing w:after="80"/>
      </w:pPr>
      <w:r>
        <w:rPr>
          <w:b w:val="false"/>
          <w:bCs w:val="false"/>
        </w:rPr>
        <w:t xml:space="preserve">The Greater Bengaluru Authority's ongoing rollout, including its single-window approval system spanning RERA compliance, continues to shape how new infrastructure-linked projects like those along the BBC corridor will be approved going forward.</w:t>
      </w:r>
    </w:p>
    <w:p>
      <w:pPr>
        <w:spacing w:after="150"/>
      </w:pPr>
      <w:r>
        <w:rPr>
          <w:i/>
          <w:iCs/>
          <w:color w:val="595959"/>
          <w:sz w:val="18"/>
          <w:szCs w:val="18"/>
        </w:rPr>
        <w:t xml:space="preserve">Sources: Deccan Herald (K-RERA chairman vacancy); SquareYards; Brigade Group/Indecimal (GBA single-window system).</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Chennai sold approximately 7,200 residential units in Q1 2026, a 10% YoY rise, against 6,500 new launches in the same quarter — meaning absorption is outpacing supply at the city level.</w:t>
      </w:r>
    </w:p>
    <w:p>
      <w:pPr>
        <w:pStyle w:val="ListParagraph"/>
        <w:numPr>
          <w:ilvl w:val="0"/>
          <w:numId w:val="2"/>
        </w:numPr>
        <w:spacing w:after="80"/>
      </w:pPr>
      <w:r>
        <w:rPr>
          <w:b w:val="false"/>
          <w:bCs w:val="false"/>
        </w:rPr>
        <w:t xml:space="preserve">West Chennai (Porur, Poonamallee, Ambattur, Thirumazhisai) has emerged as the city's fastest-evolving growth corridor in 2026, driven primarily by Chennai Metro Phase II's West Chennai extension, which has been partially operational since 2026.</w:t>
      </w:r>
    </w:p>
    <w:p>
      <w:pPr>
        <w:pStyle w:val="ListParagraph"/>
        <w:numPr>
          <w:ilvl w:val="0"/>
          <w:numId w:val="2"/>
        </w:numPr>
        <w:spacing w:after="80"/>
      </w:pPr>
      <w:r>
        <w:rPr>
          <w:b w:val="false"/>
          <w:bCs w:val="false"/>
        </w:rPr>
        <w:t xml:space="preserve">Property prices in Porur and surrounding areas range ₹6,000–10,000 per sq ft, with rental yields approaching 3.2% as IT professionals increasingly relocate to the corridor for its improving metro connectivity.</w:t>
      </w:r>
    </w:p>
    <w:p>
      <w:pPr>
        <w:spacing w:after="150"/>
      </w:pPr>
      <w:r>
        <w:rPr>
          <w:i/>
          <w:iCs/>
          <w:color w:val="595959"/>
          <w:sz w:val="18"/>
          <w:szCs w:val="18"/>
        </w:rPr>
        <w:t xml:space="preserve">Sources: BankingInputs (Chennai Q1 2026 sales/launches, West Chennai growth corridor, Porur pricing).</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Chennai Metro Rail Limited (CMRL) has floated a tender for a feasibility study on a proposed 70 km water metro corridor linking Ennore and Mamallapuram, a project that could reshape long-term commercial and residential development along Chennai's coastline.</w:t>
      </w:r>
    </w:p>
    <w:p>
      <w:pPr>
        <w:pStyle w:val="ListParagraph"/>
        <w:numPr>
          <w:ilvl w:val="0"/>
          <w:numId w:val="2"/>
        </w:numPr>
        <w:spacing w:after="80"/>
      </w:pPr>
      <w:r>
        <w:rPr>
          <w:b w:val="false"/>
          <w:bCs w:val="false"/>
        </w:rPr>
        <w:t xml:space="preserve">Hyderabad's real estate market continues expanding into peripheral corridors — Financial District, Kokapet, Tellapur, Narsingi, Kollur, Bachupally, Kompally and Miyapur — with an unsold inventory of 54,878 homes currently giving buyers considerable leverage and choice.</w:t>
      </w:r>
    </w:p>
    <w:p>
      <w:pPr>
        <w:pStyle w:val="ListParagraph"/>
        <w:numPr>
          <w:ilvl w:val="0"/>
          <w:numId w:val="2"/>
        </w:numPr>
        <w:spacing w:after="80"/>
      </w:pPr>
      <w:r>
        <w:rPr>
          <w:b w:val="false"/>
          <w:bCs w:val="false"/>
        </w:rPr>
        <w:t xml:space="preserve">West Chennai's metro-led commercial momentum, alongside CMRL's water-metro feasibility study, signals continued institutional confidence in expanding Chennai's transit-oriented development footprint.</w:t>
      </w:r>
    </w:p>
    <w:p>
      <w:pPr>
        <w:spacing w:after="150"/>
      </w:pPr>
      <w:r>
        <w:rPr>
          <w:i/>
          <w:iCs/>
          <w:color w:val="595959"/>
          <w:sz w:val="18"/>
          <w:szCs w:val="18"/>
        </w:rPr>
        <w:t xml:space="preserve">Sources: CMRL/LatestLY (water metro tender); AparnaDecors/TeluguTimes (Hyderabad peripheral corridors, unsold inventory).</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The Greater Chennai Corporation has put its property tax revision exercise on hold following significant criticism from residential and commercial property owners across the city, a governance move with direct implications for the local real estate transaction environment.</w:t>
      </w:r>
    </w:p>
    <w:p>
      <w:pPr>
        <w:pStyle w:val="ListParagraph"/>
        <w:numPr>
          <w:ilvl w:val="0"/>
          <w:numId w:val="2"/>
        </w:numPr>
        <w:spacing w:after="80"/>
      </w:pPr>
      <w:r>
        <w:rPr>
          <w:b w:val="false"/>
          <w:bCs w:val="false"/>
        </w:rPr>
        <w:t xml:space="preserve">CREDAI continues to implement the Centre's four-month RERA project-extension advisory for projects with completion deadlines on or after 28 February 2026, with Tamil Nadu and Telangana developers among the direct beneficiaries.</w:t>
      </w:r>
    </w:p>
    <w:p>
      <w:pPr>
        <w:pStyle w:val="ListParagraph"/>
        <w:numPr>
          <w:ilvl w:val="0"/>
          <w:numId w:val="2"/>
        </w:numPr>
        <w:spacing w:after="80"/>
      </w:pPr>
      <w:r>
        <w:rPr>
          <w:b w:val="false"/>
          <w:bCs w:val="false"/>
        </w:rPr>
        <w:t xml:space="preserve">CREDAI Hyderabad's Property Show 2026 (28–30 August, HITEX) continues to be promoted as a platform for homebuyers to explore 100% RERA-approved projects amid the city's current buyer-friendly inventory conditions.</w:t>
      </w:r>
    </w:p>
    <w:p>
      <w:pPr>
        <w:spacing w:after="150"/>
      </w:pPr>
      <w:r>
        <w:rPr>
          <w:i/>
          <w:iCs/>
          <w:color w:val="595959"/>
          <w:sz w:val="18"/>
          <w:szCs w:val="18"/>
        </w:rPr>
        <w:t xml:space="preserve">Sources: LatestLY (Chennai property tax revision hold); Business Standard (MoHUA advisory); The Hans India (CREDAI Hyderabad Property Show).</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real estate market is valued at approximately USD 441–585 billion in 2026, with multiple industry estimates projecting continued double-digit CAGR growth through 2031, reflecting sustained residential and commercial demand nationally.</w:t>
      </w:r>
    </w:p>
    <w:p>
      <w:pPr>
        <w:pStyle w:val="ListParagraph"/>
        <w:numPr>
          <w:ilvl w:val="0"/>
          <w:numId w:val="2"/>
        </w:numPr>
        <w:spacing w:after="80"/>
      </w:pPr>
      <w:r>
        <w:rPr>
          <w:b w:val="false"/>
          <w:bCs w:val="false"/>
        </w:rPr>
        <w:t xml:space="preserve">Infrastructure-linked residential growth continues to be a defining national theme, visible in Bengaluru's Yelahanka-BBC corridor and Chennai's West Chennai-Metro Phase II growth story alike.</w:t>
      </w:r>
    </w:p>
    <w:p>
      <w:pPr>
        <w:pStyle w:val="ListParagraph"/>
        <w:numPr>
          <w:ilvl w:val="0"/>
          <w:numId w:val="2"/>
        </w:numPr>
        <w:spacing w:after="80"/>
      </w:pPr>
      <w:r>
        <w:rPr>
          <w:b w:val="false"/>
          <w:bCs w:val="false"/>
        </w:rPr>
        <w:t xml:space="preserve">Institutionalisation continues to reshape India's residential sector, with heightened consumption, steady occupier interest and rising investor confidence expected to sustain growth momentum through the rest of 2026.</w:t>
      </w:r>
    </w:p>
    <w:p>
      <w:pPr>
        <w:spacing w:after="150"/>
      </w:pPr>
      <w:r>
        <w:rPr>
          <w:i/>
          <w:iCs/>
          <w:color w:val="595959"/>
          <w:sz w:val="18"/>
          <w:szCs w:val="18"/>
        </w:rPr>
        <w:t xml:space="preserve">Sources: KenResearch/Cushman &amp; Wakefield (India real estate market size); Outlook Money (institutionalisation trends).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India's real estate sector attracted a record USD 8.5 billion in institutional investments in H1 2026, a 32% increase YoY, underscoring strengthening investor confidence in the sector nationally.</w:t>
      </w:r>
    </w:p>
    <w:p>
      <w:pPr>
        <w:pStyle w:val="ListParagraph"/>
        <w:numPr>
          <w:ilvl w:val="0"/>
          <w:numId w:val="2"/>
        </w:numPr>
        <w:spacing w:after="80"/>
      </w:pPr>
      <w:r>
        <w:rPr>
          <w:b w:val="false"/>
          <w:bCs w:val="false"/>
        </w:rPr>
        <w:t xml:space="preserve">India's five listed REITs now carry a combined market capitalisation of over ₹1.7 lakh crore as of May 2026, with REIT-held assets representing nearly 16% penetration of the country's ~850 million sq ft Grade A office stock.</w:t>
      </w:r>
    </w:p>
    <w:p>
      <w:pPr>
        <w:pStyle w:val="ListParagraph"/>
        <w:numPr>
          <w:ilvl w:val="0"/>
          <w:numId w:val="2"/>
        </w:numPr>
        <w:spacing w:after="80"/>
      </w:pPr>
      <w:r>
        <w:rPr>
          <w:b w:val="false"/>
          <w:bCs w:val="false"/>
        </w:rPr>
        <w:t xml:space="preserve">Mega infrastructure projects like Bengaluru's ₹27,000 crore Business Corridor and Chennai's proposed water metro illustrate how transit- and connectivity-led investment continues to unlock new commercial and industrial real estate value nationally.</w:t>
      </w:r>
    </w:p>
    <w:p>
      <w:pPr>
        <w:spacing w:after="150"/>
      </w:pPr>
      <w:r>
        <w:rPr>
          <w:i/>
          <w:iCs/>
          <w:color w:val="595959"/>
          <w:sz w:val="18"/>
          <w:szCs w:val="18"/>
        </w:rPr>
        <w:t xml:space="preserve">Sources: The Realty Today/CBRE (H1 2026 institutional investment); PrimeInvestor/Wright Research (REIT market cap, penetration); SquareYards; CMRL/LatestLY.</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Ministry of Housing and Urban Affairs' four-month RERA extension advisory, covering projects with completion deadlines on or after 28 February 2026, continues to be implemented nationally amid West Asia conflict-linked supply-chain disruptions.</w:t>
      </w:r>
    </w:p>
    <w:p>
      <w:pPr>
        <w:pStyle w:val="ListParagraph"/>
        <w:numPr>
          <w:ilvl w:val="0"/>
          <w:numId w:val="2"/>
        </w:numPr>
        <w:spacing w:after="80"/>
      </w:pPr>
      <w:r>
        <w:rPr>
          <w:b w:val="false"/>
          <w:bCs w:val="false"/>
        </w:rPr>
        <w:t xml:space="preserve">Local governance interventions like the Greater Chennai Corporation's property tax revision pause and Karnataka's Greater Bengaluru Authority transition illustrate how municipal-level decisions continue to directly shape real estate transaction costs and compliance nationally.</w:t>
      </w:r>
    </w:p>
    <w:p>
      <w:pPr>
        <w:pStyle w:val="ListParagraph"/>
        <w:numPr>
          <w:ilvl w:val="0"/>
          <w:numId w:val="2"/>
        </w:numPr>
        <w:spacing w:after="80"/>
      </w:pPr>
      <w:r>
        <w:rPr>
          <w:b w:val="false"/>
          <w:bCs w:val="false"/>
        </w:rPr>
        <w:t xml:space="preserve">Karnataka's ongoing K-RERA leadership vacancy remains a live governance discussion point for state regulators nationally, even as CREDAI chapters across states continue implementing the Centre's RERA extension advisory.</w:t>
      </w:r>
    </w:p>
    <w:p>
      <w:pPr>
        <w:spacing w:after="150"/>
      </w:pPr>
      <w:r>
        <w:rPr>
          <w:i/>
          <w:iCs/>
          <w:color w:val="595959"/>
          <w:sz w:val="18"/>
          <w:szCs w:val="18"/>
        </w:rPr>
        <w:t xml:space="preserve">Sources: Business Standard; LatestLY; Deccan Herald.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2026-08-16T03:40:25.892Z</dcterms:created>
  <dcterms:modified xsi:type="dcterms:W3CDTF">2026-08-16T03:40:25.906Z</dcterms:modified>
</cp:coreProperties>
</file>

<file path=docProps/custom.xml><?xml version="1.0" encoding="utf-8"?>
<Properties xmlns="http://schemas.openxmlformats.org/officeDocument/2006/custom-properties" xmlns:vt="http://schemas.openxmlformats.org/officeDocument/2006/docPropsVTypes"/>
</file>