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4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Kengeri, with property rates between ₹5,000-6,000 per sq ft, continues developing as an affordable-housing corridor benefiting from Mysuru Road connectivity and Namma Metro access.</w:t>
      </w:r>
    </w:p>
    <w:p>
      <w:pPr>
        <w:pStyle w:val="ListParagraph"/>
        <w:numPr>
          <w:ilvl w:val="0"/>
          <w:numId w:val="2"/>
        </w:numPr>
        <w:spacing w:after="80"/>
      </w:pPr>
      <w:r>
        <w:rPr>
          <w:b w:val="false"/>
          <w:bCs w:val="false"/>
        </w:rPr>
        <w:t xml:space="preserve">West Bangalore apartment pricing averages around ₹7,900 per sq ft, with developers including Brigade, Assetz, Sattva and Sobha focusing on affordable-to-mid housing and large residential enclaves across Mysore Road and Kengeri.</w:t>
      </w:r>
    </w:p>
    <w:p>
      <w:pPr>
        <w:pStyle w:val="ListParagraph"/>
        <w:numPr>
          <w:ilvl w:val="0"/>
          <w:numId w:val="2"/>
        </w:numPr>
        <w:spacing w:after="80"/>
      </w:pPr>
      <w:r>
        <w:rPr>
          <w:b w:val="false"/>
          <w:bCs w:val="false"/>
        </w:rPr>
        <w:t xml:space="preserve">In H1 2026, homes priced between ₹2 crore and ₹5 crore accounted for roughly 29% of Bengaluru's residential sales, indicating continued strong premium-segment activity alongside the affordable West Bangalore corridor.</w:t>
      </w:r>
    </w:p>
    <w:p>
      <w:pPr>
        <w:spacing w:after="150"/>
      </w:pPr>
      <w:r>
        <w:rPr>
          <w:i/>
          <w:iCs/>
          <w:color w:val="595959"/>
          <w:sz w:val="18"/>
          <w:szCs w:val="18"/>
        </w:rPr>
        <w:t xml:space="preserve">Sources: SquareYards/RP Realty Plus (Kengeri pricing, developer focus on Mysore Road corridor); Ferozes (H1 2026 ₹2-5 crore segment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Kengeri's Namma Metro station and improving road infrastructure along Mysore Road and Tumkur Road are reinforcing West Bangalore's positioning as a development-led corridor for investors and homebuyers.</w:t>
      </w:r>
    </w:p>
    <w:p>
      <w:pPr>
        <w:pStyle w:val="ListParagraph"/>
        <w:numPr>
          <w:ilvl w:val="0"/>
          <w:numId w:val="2"/>
        </w:numPr>
        <w:spacing w:after="80"/>
      </w:pPr>
      <w:r>
        <w:rPr>
          <w:b w:val="false"/>
          <w:bCs w:val="false"/>
        </w:rPr>
        <w:t xml:space="preserve">Continued developer focus on West Bangalore's affordable-to-mid segment is expected to sustain demand for supporting retail and commercial infrastructure along the Mysore Road-Kengeri belt.</w:t>
      </w:r>
    </w:p>
    <w:p>
      <w:pPr>
        <w:pStyle w:val="ListParagraph"/>
        <w:numPr>
          <w:ilvl w:val="0"/>
          <w:numId w:val="2"/>
        </w:numPr>
        <w:spacing w:after="80"/>
      </w:pPr>
      <w:r>
        <w:rPr>
          <w:b w:val="false"/>
          <w:bCs w:val="false"/>
        </w:rPr>
        <w:t xml:space="preserve">The Kengeri and Challaghatta metro stations are improving last-mile connectivity for the corridor's growing residential base, indirectly supporting nearby commercial and retail viability.</w:t>
      </w:r>
    </w:p>
    <w:p>
      <w:pPr>
        <w:spacing w:after="150"/>
      </w:pPr>
      <w:r>
        <w:rPr>
          <w:i/>
          <w:iCs/>
          <w:color w:val="595959"/>
          <w:sz w:val="18"/>
          <w:szCs w:val="18"/>
        </w:rPr>
        <w:t xml:space="preserve">Sources: RP Realty Plus (West Bangalore development corridor); Wikipedia (Kengeri, Challaghatta metro stations).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has called on the state government to accelerate project-approval processes, citing lengthy regulatory procedures as a key driver of delays, cost increases and late housing deliveries.</w:t>
      </w:r>
    </w:p>
    <w:p>
      <w:pPr>
        <w:pStyle w:val="ListParagraph"/>
        <w:numPr>
          <w:ilvl w:val="0"/>
          <w:numId w:val="2"/>
        </w:numPr>
        <w:spacing w:after="80"/>
      </w:pPr>
      <w:r>
        <w:rPr>
          <w:b w:val="false"/>
          <w:bCs w:val="false"/>
        </w:rPr>
        <w:t xml:space="preserve">Industry representatives have urged adoption of technology-driven approval systems, digital documentation and improved inter-departmental coordination to speed up processing.</w:t>
      </w:r>
    </w:p>
    <w:p>
      <w:pPr>
        <w:pStyle w:val="ListParagraph"/>
        <w:numPr>
          <w:ilvl w:val="0"/>
          <w:numId w:val="2"/>
        </w:numPr>
        <w:spacing w:after="80"/>
      </w:pPr>
      <w:r>
        <w:rPr>
          <w:b w:val="false"/>
          <w:bCs w:val="false"/>
        </w:rPr>
        <w:t xml:space="preserve">The Karnataka Housing Board's upcoming projects are set for major expansion within the North Bengaluru industrial development corridor to meet rising housing demand.</w:t>
      </w:r>
    </w:p>
    <w:p>
      <w:pPr>
        <w:spacing w:after="150"/>
      </w:pPr>
      <w:r>
        <w:rPr>
          <w:i/>
          <w:iCs/>
          <w:color w:val="595959"/>
          <w:sz w:val="18"/>
          <w:szCs w:val="18"/>
        </w:rPr>
        <w:t xml:space="preserve">Sources: PropNewsTime/IBC World News (CREDAI Karnataka approval-delay advocacy); Grihum Housing/DDA Scheme (Karnataka Housing Board expansion plans).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Trivandrum has established itself as Kerala's highest-priced residential market, with Technopark's expansion and the transformational impact of the Vizhinjam International Port driving long-term growth prospects.</w:t>
      </w:r>
    </w:p>
    <w:p>
      <w:pPr>
        <w:pStyle w:val="ListParagraph"/>
        <w:numPr>
          <w:ilvl w:val="0"/>
          <w:numId w:val="2"/>
        </w:numPr>
        <w:spacing w:after="80"/>
      </w:pPr>
      <w:r>
        <w:rPr>
          <w:b w:val="false"/>
          <w:bCs w:val="false"/>
        </w:rPr>
        <w:t xml:space="preserve">Kochi and Trivandrum are each projected to see 5-7% residential growth in 2026, supported by strong NRI remittances, improving RERA compliance and rising demand for ready-to-move homes.</w:t>
      </w:r>
    </w:p>
    <w:p>
      <w:pPr>
        <w:pStyle w:val="ListParagraph"/>
        <w:numPr>
          <w:ilvl w:val="0"/>
          <w:numId w:val="2"/>
        </w:numPr>
        <w:spacing w:after="80"/>
      </w:pPr>
      <w:r>
        <w:rPr>
          <w:b w:val="false"/>
          <w:bCs w:val="false"/>
        </w:rPr>
        <w:t xml:space="preserve">Kerala's RERA 2.0 framework now mandates developers obtain a compliance-clearance certificate before launching or advertising new projects, reinforcing transparency across the state's residential pipeline.</w:t>
      </w:r>
    </w:p>
    <w:p>
      <w:pPr>
        <w:spacing w:after="150"/>
      </w:pPr>
      <w:r>
        <w:rPr>
          <w:i/>
          <w:iCs/>
          <w:color w:val="595959"/>
          <w:sz w:val="18"/>
          <w:szCs w:val="18"/>
        </w:rPr>
        <w:t xml:space="preserve">Sources: Sobha (Trivandrum residential market, Vizhinjam Port impact); India RAM/Kerala Real Estate (Kochi-Trivandrum 2026 growth projection); Synergy Infracon (RERA 2.0 compliance-clearance requirement).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Kochi remains Kerala's most dynamic commercial market, with growth fuelled by Infopark expansion, SEZ developments, Metro connectivity and the Water Metro network.</w:t>
      </w:r>
    </w:p>
    <w:p>
      <w:pPr>
        <w:pStyle w:val="ListParagraph"/>
        <w:numPr>
          <w:ilvl w:val="0"/>
          <w:numId w:val="2"/>
        </w:numPr>
        <w:spacing w:after="80"/>
      </w:pPr>
      <w:r>
        <w:rPr>
          <w:b w:val="false"/>
          <w:bCs w:val="false"/>
        </w:rPr>
        <w:t xml:space="preserve">K-RERA continues to mandate registration for any project above 500 sq metres or more than eight units, covering the bulk of Kerala's under-construction residential and commercial developments.</w:t>
      </w:r>
    </w:p>
    <w:p>
      <w:pPr>
        <w:pStyle w:val="ListParagraph"/>
        <w:numPr>
          <w:ilvl w:val="0"/>
          <w:numId w:val="2"/>
        </w:numPr>
        <w:spacing w:after="80"/>
      </w:pPr>
      <w:r>
        <w:rPr>
          <w:b w:val="false"/>
          <w:bCs w:val="false"/>
        </w:rPr>
        <w:t xml:space="preserve">Continued IT and commercial-hub expansion across Kochi and Trivandrum is reinforcing Kerala's broader 2026 growth narrative alongside sustained NRI investment interest.</w:t>
      </w:r>
    </w:p>
    <w:p>
      <w:pPr>
        <w:spacing w:after="150"/>
      </w:pPr>
      <w:r>
        <w:rPr>
          <w:i/>
          <w:iCs/>
          <w:color w:val="595959"/>
          <w:sz w:val="18"/>
          <w:szCs w:val="18"/>
        </w:rPr>
        <w:t xml:space="preserve">Sources: Sobha (Kochi commercial drivers); Synergy Infracon (K-RERA registration thresholds); India RAM/Kerala Real Estate.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is likely to welcome RERA 2.0's compliance-clearance certificate requirement as a further step toward standardising pre-launch transparency across the state.</w:t>
      </w:r>
    </w:p>
    <w:p>
      <w:pPr>
        <w:pStyle w:val="ListParagraph"/>
        <w:numPr>
          <w:ilvl w:val="0"/>
          <w:numId w:val="2"/>
        </w:numPr>
        <w:spacing w:after="80"/>
      </w:pPr>
      <w:r>
        <w:rPr>
          <w:b w:val="false"/>
          <w:bCs w:val="false"/>
        </w:rPr>
        <w:t xml:space="preserve">Continued K-RERA enforcement on project-registration thresholds is expected to keep CREDAI Kerala focused on ensuring member developers meet documentation requirements before marketing new projects.</w:t>
      </w:r>
    </w:p>
    <w:p>
      <w:pPr>
        <w:pStyle w:val="ListParagraph"/>
        <w:numPr>
          <w:ilvl w:val="0"/>
          <w:numId w:val="2"/>
        </w:numPr>
        <w:spacing w:after="80"/>
      </w:pPr>
      <w:r>
        <w:rPr>
          <w:b w:val="false"/>
          <w:bCs w:val="false"/>
        </w:rPr>
        <w:t xml:space="preserve">Trivandrum's Vizhinjam Port-driven growth and Kochi's Water Metro-linked expansion give CREDAI Kerala two distinct infrastructure narratives to cite when advocating for continued registration growth statewide.</w:t>
      </w:r>
    </w:p>
    <w:p>
      <w:pPr>
        <w:spacing w:after="150"/>
      </w:pPr>
      <w:r>
        <w:rPr>
          <w:i/>
          <w:iCs/>
          <w:color w:val="595959"/>
          <w:sz w:val="18"/>
          <w:szCs w:val="18"/>
        </w:rPr>
        <w:t xml:space="preserve">Sources: Synergy Infracon; Sobha.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CREDAI is seeking removal of the ₹45 lakh price cap on affordable housing, working with both state and central governments to loosen this long-standing constraint as construction costs have risen sharply since the cap was set.</w:t>
      </w:r>
    </w:p>
    <w:p>
      <w:pPr>
        <w:pStyle w:val="ListParagraph"/>
        <w:numPr>
          <w:ilvl w:val="0"/>
          <w:numId w:val="2"/>
        </w:numPr>
        <w:spacing w:after="80"/>
      </w:pPr>
      <w:r>
        <w:rPr>
          <w:b w:val="false"/>
          <w:bCs w:val="false"/>
        </w:rPr>
        <w:t xml:space="preserve">A new national affordable-housing policy is likely within six months, according to recent reporting, as the government works through CREDAI's proposals for redefining affordability thresholds.</w:t>
      </w:r>
    </w:p>
    <w:p>
      <w:pPr>
        <w:pStyle w:val="ListParagraph"/>
        <w:numPr>
          <w:ilvl w:val="0"/>
          <w:numId w:val="2"/>
        </w:numPr>
        <w:spacing w:after="80"/>
      </w:pPr>
      <w:r>
        <w:rPr>
          <w:b w:val="false"/>
          <w:bCs w:val="false"/>
        </w:rPr>
        <w:t xml:space="preserve">India's home loan market is projected to expand nearly 88% between 2026 and 2031, rising from $430.74 billion to $809.07 billion, with Tier 2 and Tier 3 cities driving much of this demand.</w:t>
      </w:r>
    </w:p>
    <w:p>
      <w:pPr>
        <w:spacing w:after="150"/>
      </w:pPr>
      <w:r>
        <w:rPr>
          <w:i/>
          <w:iCs/>
          <w:color w:val="595959"/>
          <w:sz w:val="18"/>
          <w:szCs w:val="18"/>
        </w:rPr>
        <w:t xml:space="preserve">Sources: BusinessToday (CREDAI ₹45 lakh price-cap advocacy, affordable-housing policy timeline, 3 October 2026); Outlook Money (home loan market growth projection).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National Housing Bank's Prime Lending Rate stands at 7.65% as of 1 October 2026, with nationalised banks offering home loan rates of 7.1-7.45% and private banks/NBFCs in the 8-11% range.</w:t>
      </w:r>
    </w:p>
    <w:p>
      <w:pPr>
        <w:pStyle w:val="ListParagraph"/>
        <w:numPr>
          <w:ilvl w:val="0"/>
          <w:numId w:val="2"/>
        </w:numPr>
        <w:spacing w:after="80"/>
      </w:pPr>
      <w:r>
        <w:rPr>
          <w:b w:val="false"/>
          <w:bCs w:val="false"/>
        </w:rPr>
        <w:t xml:space="preserve">Continued robust growth in India's housing finance sector, driven by urbanisation and government initiatives, is reinforcing credit availability for both affordable and premium housing segments nationally.</w:t>
      </w:r>
    </w:p>
    <w:p>
      <w:pPr>
        <w:pStyle w:val="ListParagraph"/>
        <w:numPr>
          <w:ilvl w:val="0"/>
          <w:numId w:val="2"/>
        </w:numPr>
        <w:spacing w:after="80"/>
      </w:pPr>
      <w:r>
        <w:rPr>
          <w:b w:val="false"/>
          <w:bCs w:val="false"/>
        </w:rPr>
        <w:t xml:space="preserve">The anticipated national affordable-housing policy revision is expected to have knock-on effects for commercial and mixed-use development tied to affordable-housing project incentives.</w:t>
      </w:r>
    </w:p>
    <w:p>
      <w:pPr>
        <w:spacing w:after="150"/>
      </w:pPr>
      <w:r>
        <w:rPr>
          <w:i/>
          <w:iCs/>
          <w:color w:val="595959"/>
          <w:sz w:val="18"/>
          <w:szCs w:val="18"/>
        </w:rPr>
        <w:t xml:space="preserve">Sources: Urban Money (NHB PLR, bank home loan rates, October 2026); BusinessToday.</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push to remove the ₹45 lakh affordable-housing price cap is one of the most significant national policy asks currently under discussion with state and central governments.</w:t>
      </w:r>
    </w:p>
    <w:p>
      <w:pPr>
        <w:pStyle w:val="ListParagraph"/>
        <w:numPr>
          <w:ilvl w:val="0"/>
          <w:numId w:val="2"/>
        </w:numPr>
        <w:spacing w:after="80"/>
      </w:pPr>
      <w:r>
        <w:rPr>
          <w:b w:val="false"/>
          <w:bCs w:val="false"/>
        </w:rPr>
        <w:t xml:space="preserve">CREDAI and NAREDCO are likely to welcome the prospect of a new affordable-housing policy within six months as a long-awaited recalibration of outdated price thresholds.</w:t>
      </w:r>
    </w:p>
    <w:p>
      <w:pPr>
        <w:pStyle w:val="ListParagraph"/>
        <w:numPr>
          <w:ilvl w:val="0"/>
          <w:numId w:val="2"/>
        </w:numPr>
        <w:spacing w:after="80"/>
      </w:pPr>
      <w:r>
        <w:rPr>
          <w:b w:val="false"/>
          <w:bCs w:val="false"/>
        </w:rPr>
        <w:t xml:space="preserve">India's home loan market's projected 88% growth through 2031, led by Tier 2 and 3 cities, reinforces CREDAI's case for policy support extending beyond metro markets nationally.</w:t>
      </w:r>
    </w:p>
    <w:p>
      <w:pPr>
        <w:spacing w:after="150"/>
      </w:pPr>
      <w:r>
        <w:rPr>
          <w:i/>
          <w:iCs/>
          <w:color w:val="595959"/>
          <w:sz w:val="18"/>
          <w:szCs w:val="18"/>
        </w:rPr>
        <w:t xml:space="preserve">Sources: BusinessToday;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2026-10-04T03:37:46.339Z</dcterms:created>
  <dcterms:modified xsi:type="dcterms:W3CDTF">2026-10-04T03:37:46.349Z</dcterms:modified>
</cp:coreProperties>
</file>

<file path=docProps/custom.xml><?xml version="1.0" encoding="utf-8"?>
<Properties xmlns="http://schemas.openxmlformats.org/officeDocument/2006/custom-properties" xmlns:vt="http://schemas.openxmlformats.org/officeDocument/2006/docPropsVTypes"/>
</file>