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8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Thanisandra property prices range ₹7,800-11,850 per sq ft as of October 2026, with ready resales from 2015-2019 at the low end and integrated township projects commanding the top of the range.</w:t>
      </w:r>
    </w:p>
    <w:p>
      <w:pPr>
        <w:pStyle w:val="ListParagraph"/>
        <w:numPr>
          <w:ilvl w:val="0"/>
          <w:numId w:val="2"/>
        </w:numPr>
        <w:spacing w:after="80"/>
      </w:pPr>
      <w:r>
        <w:rPr>
          <w:b w:val="false"/>
          <w:bCs w:val="false"/>
        </w:rPr>
        <w:t xml:space="preserve">Hennur Road pricing spans ₹7,500-10,500 per sq ft, with the main-road core commanding a premium over the Outer Ring Road junction end of the corridor.</w:t>
      </w:r>
    </w:p>
    <w:p>
      <w:pPr>
        <w:pStyle w:val="ListParagraph"/>
        <w:numPr>
          <w:ilvl w:val="0"/>
          <w:numId w:val="2"/>
        </w:numPr>
        <w:spacing w:after="80"/>
      </w:pPr>
      <w:r>
        <w:rPr>
          <w:b w:val="false"/>
          <w:bCs w:val="false"/>
        </w:rPr>
        <w:t xml:space="preserve">Horamavu's asking prices have reportedly jumped to ₹8,750 per sq ft (+31.92% YoY), though government registration rates remain considerably lower at ₹5,250 per sq ft, highlighting a wide asking-to-registered price gap worth noting for stamp-duty planning.</w:t>
      </w:r>
    </w:p>
    <w:p>
      <w:pPr>
        <w:spacing w:after="150"/>
      </w:pPr>
      <w:r>
        <w:rPr>
          <w:i/>
          <w:iCs/>
          <w:color w:val="595959"/>
          <w:sz w:val="18"/>
          <w:szCs w:val="18"/>
        </w:rPr>
        <w:t xml:space="preserve">Sources: NxtFootstep/Bangalore Select (Thanisandra, Hennur Road pricing); SquareYards (Horamavu asking vs registration rates).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Namma Metro's Pink Line opening has slipped past mid-October, with final clearance still resting on the Commissioner of Metro Railway Safety even after Development Minister Krishna Byre Gowda's early-September trial ride on the Kalena Agrahara-Tavarekere stretch.</w:t>
      </w:r>
    </w:p>
    <w:p>
      <w:pPr>
        <w:pStyle w:val="ListParagraph"/>
        <w:numPr>
          <w:ilvl w:val="0"/>
          <w:numId w:val="2"/>
        </w:numPr>
        <w:spacing w:after="80"/>
      </w:pPr>
      <w:r>
        <w:rPr>
          <w:b w:val="false"/>
          <w:bCs w:val="false"/>
        </w:rPr>
        <w:t xml:space="preserve">Frustrated residents and BNP workers staged a symbolic ribbon-cutting ceremony at Kalena Agrahara station to protest the continued delay in opening ready metro infrastructure to the public.</w:t>
      </w:r>
    </w:p>
    <w:p>
      <w:pPr>
        <w:pStyle w:val="ListParagraph"/>
        <w:numPr>
          <w:ilvl w:val="0"/>
          <w:numId w:val="2"/>
        </w:numPr>
        <w:spacing w:after="80"/>
      </w:pPr>
      <w:r>
        <w:rPr>
          <w:b w:val="false"/>
          <w:bCs w:val="false"/>
        </w:rPr>
        <w:t xml:space="preserve">Rental yields across Thanisandra, Hennur and Horamavu remain modest at 3-4% gross, suggesting pricing in these North Bengaluru corridors is being driven more by end-user demand and infrastructure expectations than by rental economics.</w:t>
      </w:r>
    </w:p>
    <w:p>
      <w:pPr>
        <w:spacing w:after="150"/>
      </w:pPr>
      <w:r>
        <w:rPr>
          <w:i/>
          <w:iCs/>
          <w:color w:val="595959"/>
          <w:sz w:val="18"/>
          <w:szCs w:val="18"/>
        </w:rPr>
        <w:t xml:space="preserve">Sources: Deccan Herald/Nativeplanet (Pink Line delay, symbolic ribbon-cutting); MetroRailNews (Minister's trial ride); NxtFootstep (rental yields).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wide gap between portal asking prices and Karnataka's IGR-registered transaction rates across localities like Horamavu is a reminder for buyers and developers to verify registered sale values before relying on asking-price data.</w:t>
      </w:r>
    </w:p>
    <w:p>
      <w:pPr>
        <w:pStyle w:val="ListParagraph"/>
        <w:numPr>
          <w:ilvl w:val="0"/>
          <w:numId w:val="2"/>
        </w:numPr>
        <w:spacing w:after="80"/>
      </w:pPr>
      <w:r>
        <w:rPr>
          <w:b w:val="false"/>
          <w:bCs w:val="false"/>
        </w:rPr>
        <w:t xml:space="preserve">CREDAI Karnataka members in North Bengaluru's Thanisandra-Hennur belt continue to face wide pricing disagreement across data sources, a market-transparency gap K-RERA's registered-project disclosures are intended to help close.</w:t>
      </w:r>
    </w:p>
    <w:p>
      <w:pPr>
        <w:pStyle w:val="ListParagraph"/>
        <w:numPr>
          <w:ilvl w:val="0"/>
          <w:numId w:val="2"/>
        </w:numPr>
        <w:spacing w:after="80"/>
      </w:pPr>
      <w:r>
        <w:rPr>
          <w:b w:val="false"/>
          <w:bCs w:val="false"/>
        </w:rPr>
        <w:t xml:space="preserve">K-RERA's continued project-registration oversight remains relevant as integrated township launches at the top of Thanisandra's price band continue to add fresh registered inventory to the corridor.</w:t>
      </w:r>
    </w:p>
    <w:p>
      <w:pPr>
        <w:spacing w:after="150"/>
      </w:pPr>
      <w:r>
        <w:rPr>
          <w:i/>
          <w:iCs/>
          <w:color w:val="595959"/>
          <w:sz w:val="18"/>
          <w:szCs w:val="18"/>
        </w:rPr>
        <w:t xml:space="preserve">Sources: SquareYards (asking vs IGR registration rates); NxtFootstep/Bangalore Select.</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TNRERA has tightened layout-scrutiny norms to verify infrastructure and land records more rigorously for new project registrations in Tamil Nadu.</w:t>
      </w:r>
    </w:p>
    <w:p>
      <w:pPr>
        <w:pStyle w:val="ListParagraph"/>
        <w:numPr>
          <w:ilvl w:val="0"/>
          <w:numId w:val="2"/>
        </w:numPr>
        <w:spacing w:after="80"/>
      </w:pPr>
      <w:r>
        <w:rPr>
          <w:b w:val="false"/>
          <w:bCs w:val="false"/>
        </w:rPr>
        <w:t xml:space="preserve">Chennai airport expansion plans have put roughly 217 acres across Manapakkam, Kolapakkam and Cowl Bazaar back in focus for potential land acquisition and redevelopment.</w:t>
      </w:r>
    </w:p>
    <w:p>
      <w:pPr>
        <w:pStyle w:val="ListParagraph"/>
        <w:numPr>
          <w:ilvl w:val="0"/>
          <w:numId w:val="2"/>
        </w:numPr>
        <w:spacing w:after="80"/>
      </w:pPr>
      <w:r>
        <w:rPr>
          <w:b w:val="false"/>
          <w:bCs w:val="false"/>
        </w:rPr>
        <w:t xml:space="preserve">TNRERA has reportedly sent notices to as many as 320 builders in Chennai for failing to register their projects with the authority, though the exact date of this enforcement action should be independently verified.</w:t>
      </w:r>
    </w:p>
    <w:p>
      <w:pPr>
        <w:spacing w:after="150"/>
      </w:pPr>
      <w:r>
        <w:rPr>
          <w:i/>
          <w:iCs/>
          <w:color w:val="595959"/>
          <w:sz w:val="18"/>
          <w:szCs w:val="18"/>
        </w:rPr>
        <w:t xml:space="preserve">Sources: Verified.RealEstate (TNRERA layout-scrutiny norms, Chennai airport land); RealtyNXT (TNRERA notice to unregistered builders — date unverified).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CMDA continues to administer planning across the 5,904 sq km Chennai Metropolitan Region, with CMDA clearance mandatory wherever land falls even partially within its jurisdiction, regardless of separate DTCP approval.</w:t>
      </w:r>
    </w:p>
    <w:p>
      <w:pPr>
        <w:pStyle w:val="ListParagraph"/>
        <w:numPr>
          <w:ilvl w:val="0"/>
          <w:numId w:val="2"/>
        </w:numPr>
        <w:spacing w:after="80"/>
      </w:pPr>
      <w:r>
        <w:rPr>
          <w:b w:val="false"/>
          <w:bCs w:val="false"/>
        </w:rPr>
        <w:t xml:space="preserve">DTCP remains the planning authority for areas outside the CMDA region, creating a dual-authority landscape that developers and buyers must navigate carefully across Tamil Nadu's growth corridors.</w:t>
      </w:r>
    </w:p>
    <w:p>
      <w:pPr>
        <w:pStyle w:val="ListParagraph"/>
        <w:numPr>
          <w:ilvl w:val="0"/>
          <w:numId w:val="2"/>
        </w:numPr>
        <w:spacing w:after="80"/>
      </w:pPr>
      <w:r>
        <w:rPr>
          <w:b w:val="false"/>
          <w:bCs w:val="false"/>
        </w:rPr>
        <w:t xml:space="preserve">The Manapakkam-Kolapakkam-Cowl Bazaar land parcels near Chennai airport could see renewed commercial and mixed-use development interest if expansion plans proceed.</w:t>
      </w:r>
    </w:p>
    <w:p>
      <w:pPr>
        <w:spacing w:after="150"/>
      </w:pPr>
      <w:r>
        <w:rPr>
          <w:i/>
          <w:iCs/>
          <w:color w:val="595959"/>
          <w:sz w:val="18"/>
          <w:szCs w:val="18"/>
        </w:rPr>
        <w:t xml:space="preserve">Sources: LiveHomes/BB Properties (CMDA-DTCP jurisdiction); Verified.RealEstate (Chennai airport land).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Tamil Nadu is likely to welcome TNRERA's tightened layout-scrutiny norms as a step toward reducing fraudulent or under-documented plot sales across the state.</w:t>
      </w:r>
    </w:p>
    <w:p>
      <w:pPr>
        <w:pStyle w:val="ListParagraph"/>
        <w:numPr>
          <w:ilvl w:val="0"/>
          <w:numId w:val="2"/>
        </w:numPr>
        <w:spacing w:after="80"/>
      </w:pPr>
      <w:r>
        <w:rPr>
          <w:b w:val="false"/>
          <w:bCs w:val="false"/>
        </w:rPr>
        <w:t xml:space="preserve">The reported TNRERA notice to 320 unregistered Chennai builders, if confirmed, would mark one of the authority's largest simultaneous enforcement actions and is likely to be closely watched by CREDAI Tamil Nadu members.</w:t>
      </w:r>
    </w:p>
    <w:p>
      <w:pPr>
        <w:pStyle w:val="ListParagraph"/>
        <w:numPr>
          <w:ilvl w:val="0"/>
          <w:numId w:val="2"/>
        </w:numPr>
        <w:spacing w:after="80"/>
      </w:pPr>
      <w:r>
        <w:rPr>
          <w:b w:val="false"/>
          <w:bCs w:val="false"/>
        </w:rPr>
        <w:t xml:space="preserve">Continued CMDA-DTCP jurisdictional overlap near Chennai's airport expansion zone is expected to keep CREDAI Tamil Nadu engaged on clarifying approval pathways for affected landowners and developers.</w:t>
      </w:r>
    </w:p>
    <w:p>
      <w:pPr>
        <w:spacing w:after="150"/>
      </w:pPr>
      <w:r>
        <w:rPr>
          <w:i/>
          <w:iCs/>
          <w:color w:val="595959"/>
          <w:sz w:val="18"/>
          <w:szCs w:val="18"/>
        </w:rPr>
        <w:t xml:space="preserve">Sources: Verified.RealEstate; RealtyNXT; LiveHomes/BB Properties.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RBI raised its benchmark repo rate by 25 basis points to 5.50% on 7 October 2026 — its first hike since February 2023 — shifting its policy stance to "calibrated tightening" as inflation rose to a projected 5.2%.</w:t>
      </w:r>
    </w:p>
    <w:p>
      <w:pPr>
        <w:pStyle w:val="ListParagraph"/>
        <w:numPr>
          <w:ilvl w:val="0"/>
          <w:numId w:val="2"/>
        </w:numPr>
        <w:spacing w:after="80"/>
      </w:pPr>
      <w:r>
        <w:rPr>
          <w:b w:val="false"/>
          <w:bCs w:val="false"/>
        </w:rPr>
        <w:t xml:space="preserve">Lenders are expected to pass the higher rate on to borrowers, raising home loan EMIs, with four successive 25bps hikes potentially compounding to a full percentage-point rate increase over time.</w:t>
      </w:r>
    </w:p>
    <w:p>
      <w:pPr>
        <w:pStyle w:val="ListParagraph"/>
        <w:numPr>
          <w:ilvl w:val="0"/>
          <w:numId w:val="2"/>
        </w:numPr>
        <w:spacing w:after="80"/>
      </w:pPr>
      <w:r>
        <w:rPr>
          <w:b w:val="false"/>
          <w:bCs w:val="false"/>
        </w:rPr>
        <w:t xml:space="preserve">EWS, LIG and first-time homebuyers are expected to be most sensitive to the resulting affordability changes, while luxury-segment buyers remain less exposed to financing-cost shifts.</w:t>
      </w:r>
    </w:p>
    <w:p>
      <w:pPr>
        <w:spacing w:after="150"/>
      </w:pPr>
      <w:r>
        <w:rPr>
          <w:i/>
          <w:iCs/>
          <w:color w:val="595959"/>
          <w:sz w:val="18"/>
          <w:szCs w:val="18"/>
        </w:rPr>
        <w:t xml:space="preserve">Sources: Forbes India/The Week (RBI 25bps repo rate hike to 5.50%, 7 October 2026); Upstox/Outlook Money (EMI and affordability impact).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Developers broadly characterised the rate hike as a "measured intervention" rather than a market disruption, even as some flagged a marginal increase in the cost of construction capital.</w:t>
      </w:r>
    </w:p>
    <w:p>
      <w:pPr>
        <w:pStyle w:val="ListParagraph"/>
        <w:numPr>
          <w:ilvl w:val="0"/>
          <w:numId w:val="2"/>
        </w:numPr>
        <w:spacing w:after="80"/>
      </w:pPr>
      <w:r>
        <w:rPr>
          <w:b w:val="false"/>
          <w:bCs w:val="false"/>
        </w:rPr>
        <w:t xml:space="preserve">HSBC Global Investment Research has projected a further 25bps hike in December 2026, with coverage suggesting rate cuts are off the table for now — a forecast that nonetheless shapes near-term developer financing assumptions.</w:t>
      </w:r>
    </w:p>
    <w:p>
      <w:pPr>
        <w:pStyle w:val="ListParagraph"/>
        <w:numPr>
          <w:ilvl w:val="0"/>
          <w:numId w:val="2"/>
        </w:numPr>
        <w:spacing w:after="80"/>
      </w:pPr>
      <w:r>
        <w:rPr>
          <w:b w:val="false"/>
          <w:bCs w:val="false"/>
        </w:rPr>
        <w:t xml:space="preserve">The bigger risk to housing demand nationally is seen as a sustained series of further hikes rather than this single move, according to industry outlook commentary.</w:t>
      </w:r>
    </w:p>
    <w:p>
      <w:pPr>
        <w:spacing w:after="150"/>
      </w:pPr>
      <w:r>
        <w:rPr>
          <w:i/>
          <w:iCs/>
          <w:color w:val="595959"/>
          <w:sz w:val="18"/>
          <w:szCs w:val="18"/>
        </w:rPr>
        <w:t xml:space="preserve">Sources: Business Standard (developer reaction, HSBC December hike forecast).</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monitor the RBI's shift to calibrated tightening closely, given its potential knock-on effects for affordable and mid-income homebuyer affordability nationally.</w:t>
      </w:r>
    </w:p>
    <w:p>
      <w:pPr>
        <w:pStyle w:val="ListParagraph"/>
        <w:numPr>
          <w:ilvl w:val="0"/>
          <w:numId w:val="2"/>
        </w:numPr>
        <w:spacing w:after="80"/>
      </w:pPr>
      <w:r>
        <w:rPr>
          <w:b w:val="false"/>
          <w:bCs w:val="false"/>
        </w:rPr>
        <w:t xml:space="preserve">Some developers, including in West Bengal, have warned that rising housing and construction loan rates could adversely impact the sector, even as others argue it won't fundamentally alter the housing market's long-term trajectory.</w:t>
      </w:r>
    </w:p>
    <w:p>
      <w:pPr>
        <w:pStyle w:val="ListParagraph"/>
        <w:numPr>
          <w:ilvl w:val="0"/>
          <w:numId w:val="2"/>
        </w:numPr>
        <w:spacing w:after="80"/>
      </w:pPr>
      <w:r>
        <w:rPr>
          <w:b w:val="false"/>
          <w:bCs w:val="false"/>
        </w:rPr>
        <w:t xml:space="preserve">Continued RBI tightening risk is expected to keep CREDAI and NAREDCO focused on advocating for demand-side support measures to protect first-time and affordable-segment homebuyers through the festive season and beyond.</w:t>
      </w:r>
    </w:p>
    <w:p>
      <w:pPr>
        <w:spacing w:after="150"/>
      </w:pPr>
      <w:r>
        <w:rPr>
          <w:i/>
          <w:iCs/>
          <w:color w:val="595959"/>
          <w:sz w:val="18"/>
          <w:szCs w:val="18"/>
        </w:rPr>
        <w:t xml:space="preserve">Sources: Business Standard; Forbes India/The Week.</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2026-10-08T03:38:20.697Z</dcterms:created>
  <dcterms:modified xsi:type="dcterms:W3CDTF">2026-10-08T03:38:20.710Z</dcterms:modified>
</cp:coreProperties>
</file>

<file path=docProps/custom.xml><?xml version="1.0" encoding="utf-8"?>
<Properties xmlns="http://schemas.openxmlformats.org/officeDocument/2006/custom-properties" xmlns:vt="http://schemas.openxmlformats.org/officeDocument/2006/docPropsVTypes"/>
</file>