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NBR Group – Daily Morning Real Estate Digest</w:t>
      </w:r>
    </w:p>
    <w:p>
      <w:pPr>
        <w:spacing w:after="300"/>
        <w:jc w:val="center"/>
      </w:pPr>
      <w:r>
        <w:rPr>
          <w:i/>
          <w:iCs/>
          <w:color w:val="595959"/>
          <w:sz w:val="22"/>
          <w:szCs w:val="22"/>
        </w:rPr>
        <w:t xml:space="preserve">Compiled for Senior Management  |  Monday, 20 July 2026  |  For internal circulation</w:t>
      </w:r>
    </w:p>
    <w:p>
      <w:pPr>
        <w:spacing w:after="120"/>
      </w:pPr>
      <w:r>
        <w:t xml:space="preserve">This digest tracks residential-led news and updates across the real estate sector, with additional coverage of commercial, industrial and leasing activity, structured across three layers: (1) Bengaluru &amp; Karnataka, (2) South India, and (3) National. RERA and CREDAI updates are reported within each respective layer.</w:t>
      </w:r>
    </w:p>
    <w:p>
      <w:pPr>
        <w:pStyle w:val="Heading1"/>
        <w:pBdr>
          <w:bottom w:val="single" w:color="1F3864" w:sz="12" w:space="4"/>
        </w:pBdr>
        <w:spacing w:after="150" w:before="400"/>
      </w:pPr>
      <w:r>
        <w:rPr>
          <w:b/>
          <w:bCs/>
          <w:color w:val="1F3864"/>
        </w:rPr>
        <w:t xml:space="preserve">Layer 1 — Bengaluru &amp; Karnataka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Bengaluru and Chennai together drew ~USD 1.2 billion in real estate investment in January–June 2026 (~27% of India's USD 2.9 billion in Q2 CY2026 inflows), underlining Bengaluru's pull as both an end-user and investor market.</w:t>
      </w:r>
    </w:p>
    <w:p>
      <w:pPr>
        <w:pStyle w:val="ListParagraph"/>
        <w:numPr>
          <w:ilvl w:val="0"/>
          <w:numId w:val="2"/>
        </w:numPr>
        <w:spacing w:after="80"/>
      </w:pPr>
      <w:r>
        <w:rPr>
          <w:b w:val="false"/>
          <w:bCs w:val="false"/>
        </w:rPr>
        <w:t xml:space="preserve">Knight Frank projects 10–12% residential price growth in Bengaluru through 2026, underpinned by IT/ITES expansion, GCC growth, aerospace and other emerging industries, and sustained infrastructure investment.</w:t>
      </w:r>
    </w:p>
    <w:p>
      <w:pPr>
        <w:pStyle w:val="ListParagraph"/>
        <w:numPr>
          <w:ilvl w:val="0"/>
          <w:numId w:val="2"/>
        </w:numPr>
        <w:spacing w:after="80"/>
      </w:pPr>
      <w:r>
        <w:rPr>
          <w:b w:val="false"/>
          <w:bCs w:val="false"/>
        </w:rPr>
        <w:t xml:space="preserve">Analysts continue to characterise Bengaluru's residential run-up as structurally driven by genuine end-user demand from a fast-growing high-value employment base, rather than speculative activity, even as prices keep climbing.</w:t>
      </w:r>
    </w:p>
    <w:p>
      <w:pPr>
        <w:pStyle w:val="ListParagraph"/>
        <w:numPr>
          <w:ilvl w:val="0"/>
          <w:numId w:val="2"/>
        </w:numPr>
        <w:spacing w:after="80"/>
      </w:pPr>
      <w:r>
        <w:rPr>
          <w:b w:val="false"/>
          <w:bCs w:val="false"/>
        </w:rPr>
        <w:t xml:space="preserve">Demand momentum stays concentrated in Whitefield, Sarjapur Road, Electronic City, Hebbal, Yelahanka, North Bengaluru and Devanahalli, aided by improving connectivity and expanding social infrastructure.</w:t>
      </w:r>
    </w:p>
    <w:p>
      <w:pPr>
        <w:spacing w:after="150"/>
      </w:pPr>
      <w:r>
        <w:rPr>
          <w:i/>
          <w:iCs/>
          <w:color w:val="595959"/>
          <w:sz w:val="18"/>
          <w:szCs w:val="18"/>
        </w:rPr>
        <w:t xml:space="preserve">Sources: Lokmat Times; Knight Frank India (via G P Media/Proppy.ai); Modern Spaaces.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Bengaluru's office market posted 5.6 million sq ft of gross leasing in Q2 2026, with GCCs making up 60% of the city's office transactions — the highest GCC share among Indian cities; H1 2026 GCC-led leasing reached 8.5 million sq ft, the highest nationally.</w:t>
      </w:r>
    </w:p>
    <w:p>
      <w:pPr>
        <w:pStyle w:val="ListParagraph"/>
        <w:numPr>
          <w:ilvl w:val="0"/>
          <w:numId w:val="2"/>
        </w:numPr>
        <w:spacing w:after="80"/>
      </w:pPr>
      <w:r>
        <w:rPr>
          <w:b w:val="false"/>
          <w:bCs w:val="false"/>
        </w:rPr>
        <w:t xml:space="preserve">Bengaluru led national gross office leasing with a 24.6% share in Q2 2026, ahead of Delhi-NCR, Pune and Chennai; average transacted rents rose 8% YoY to ~₹102/sq ft/month.</w:t>
      </w:r>
    </w:p>
    <w:p>
      <w:pPr>
        <w:pStyle w:val="ListParagraph"/>
        <w:numPr>
          <w:ilvl w:val="0"/>
          <w:numId w:val="2"/>
        </w:numPr>
        <w:spacing w:after="80"/>
      </w:pPr>
      <w:r>
        <w:rPr>
          <w:b w:val="false"/>
          <w:bCs w:val="false"/>
        </w:rPr>
        <w:t xml:space="preserve">Industrial leasing reached ~0.8 million sq ft, driven by Jigani and Devanahalli; H2 2025 warehousing leasing totalled ~1.9 million sq ft led by Hoskote and Nelamangala, with 3PL (41%) and retail (30%) the top demand drivers, and land values in these corridors up 9–10% YoY.</w:t>
      </w:r>
    </w:p>
    <w:p>
      <w:pPr>
        <w:spacing w:after="150"/>
      </w:pPr>
      <w:r>
        <w:rPr>
          <w:i/>
          <w:iCs/>
          <w:color w:val="595959"/>
          <w:sz w:val="18"/>
          <w:szCs w:val="18"/>
        </w:rPr>
        <w:t xml:space="preserve">Sources: Cushman &amp; Wakefield Bengaluru MarketBeat; BizzBuzz; Prokerala; IANS.</w:t>
      </w:r>
    </w:p>
    <w:p>
      <w:pPr>
        <w:pStyle w:val="Heading2"/>
        <w:spacing w:after="100" w:before="200"/>
      </w:pPr>
      <w:r>
        <w:rPr>
          <w:b/>
          <w:bCs/>
          <w:color w:val="C00000"/>
        </w:rPr>
        <w:t xml:space="preserve">Karnataka RERA &amp; CREDAI Updates</w:t>
      </w:r>
    </w:p>
    <w:p>
      <w:pPr>
        <w:pStyle w:val="ListParagraph"/>
        <w:numPr>
          <w:ilvl w:val="0"/>
          <w:numId w:val="2"/>
        </w:numPr>
        <w:spacing w:after="80"/>
      </w:pPr>
      <w:r>
        <w:rPr>
          <w:b w:val="false"/>
          <w:bCs w:val="false"/>
        </w:rPr>
        <w:t xml:space="preserve">K-RERA has directed developer Casagrande Garden City to refund ₹52.74 lakh to a Bengaluru homebuyer over unfair GST charges — the latest in a string of consumer-protection rulings against developers.</w:t>
      </w:r>
    </w:p>
    <w:p>
      <w:pPr>
        <w:pStyle w:val="ListParagraph"/>
        <w:numPr>
          <w:ilvl w:val="0"/>
          <w:numId w:val="2"/>
        </w:numPr>
        <w:spacing w:after="80"/>
      </w:pPr>
      <w:r>
        <w:rPr>
          <w:b w:val="false"/>
          <w:bCs w:val="false"/>
        </w:rPr>
        <w:t xml:space="preserve">In a separate July 2026 order, K-RERA reaffirmed that a developer's obligations continue until every contractual and legal commitment is fulfilled — rejecting an argument that RERA didn't apply because the occupancy certificate predated certain provisions of the Act, citing Supreme Court precedent, and ordering completion of amenities and asset transfer within 90 days.</w:t>
      </w:r>
    </w:p>
    <w:p>
      <w:pPr>
        <w:pStyle w:val="ListParagraph"/>
        <w:numPr>
          <w:ilvl w:val="0"/>
          <w:numId w:val="2"/>
        </w:numPr>
        <w:spacing w:after="80"/>
      </w:pPr>
      <w:r>
        <w:rPr>
          <w:b w:val="false"/>
          <w:bCs w:val="false"/>
        </w:rPr>
        <w:t xml:space="preserve">CREDAI Bengaluru hosted the 7th edition of CREDAI YouthCon 2026 (27–28 February) at JW Marriott Prestige Golfshire, drawing 600+ young developers nationally and an MoU signing between CREDAI and the World Trade Centers Association.</w:t>
      </w:r>
    </w:p>
    <w:p>
      <w:pPr>
        <w:spacing w:after="150"/>
      </w:pPr>
      <w:r>
        <w:rPr>
          <w:i/>
          <w:iCs/>
          <w:color w:val="595959"/>
          <w:sz w:val="18"/>
          <w:szCs w:val="18"/>
        </w:rPr>
        <w:t xml:space="preserve">Sources: BookNewProperty; The Realty Today; CREDAI (credai.org).</w:t>
      </w:r>
    </w:p>
    <w:p>
      <w:pPr>
        <w:pStyle w:val="Heading1"/>
        <w:pBdr>
          <w:bottom w:val="single" w:color="1F3864" w:sz="12" w:space="4"/>
        </w:pBdr>
        <w:spacing w:after="150" w:before="400"/>
      </w:pPr>
      <w:r>
        <w:rPr>
          <w:b/>
          <w:bCs/>
          <w:color w:val="1F3864"/>
        </w:rPr>
        <w:t xml:space="preserve">Layer 2 — South India</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Chennai registered 9,198 residential sales in H1 2026 (+3% YoY), with average prices up 5% YoY to ~₹7,555/sq ft; launches held steady at 9,588 units, reflecting a measured supply approach.</w:t>
      </w:r>
    </w:p>
    <w:p>
      <w:pPr>
        <w:pStyle w:val="ListParagraph"/>
        <w:numPr>
          <w:ilvl w:val="0"/>
          <w:numId w:val="2"/>
        </w:numPr>
        <w:spacing w:after="80"/>
      </w:pPr>
      <w:r>
        <w:rPr>
          <w:b w:val="false"/>
          <w:bCs w:val="false"/>
        </w:rPr>
        <w:t xml:space="preserve">Demand in Chennai is shifting toward mid and premium segments — the affordable-housing share (below ₹50 lakh) fell sharply from 22% in H1 2025 to just 12% in H1 2026.</w:t>
      </w:r>
    </w:p>
    <w:p>
      <w:pPr>
        <w:pStyle w:val="ListParagraph"/>
        <w:numPr>
          <w:ilvl w:val="0"/>
          <w:numId w:val="2"/>
        </w:numPr>
        <w:spacing w:after="80"/>
      </w:pPr>
      <w:r>
        <w:rPr>
          <w:b w:val="false"/>
          <w:bCs w:val="false"/>
        </w:rPr>
        <w:t xml:space="preserve">Hyderabad continues to lead South India's luxury housing volumes on the back of larger home sizes and competitive pricing versus Bengaluru; over 800 luxury homes worth ₹11,246 crore were sold across Hyderabad, Bengaluru and Chennai combined in FY26.</w:t>
      </w:r>
    </w:p>
    <w:p>
      <w:pPr>
        <w:pStyle w:val="ListParagraph"/>
        <w:numPr>
          <w:ilvl w:val="0"/>
          <w:numId w:val="2"/>
        </w:numPr>
        <w:spacing w:after="80"/>
      </w:pPr>
      <w:r>
        <w:rPr>
          <w:b w:val="false"/>
          <w:bCs w:val="false"/>
        </w:rPr>
        <w:t xml:space="preserve">Beyond the metros, cities such as Kochi, Coimbatore, Hosur and Coorg saw significant investment activity in H1 2026, pointing to broadening demand beyond South India's traditional hubs.</w:t>
      </w:r>
    </w:p>
    <w:p>
      <w:pPr>
        <w:spacing w:after="150"/>
      </w:pPr>
      <w:r>
        <w:rPr>
          <w:i/>
          <w:iCs/>
          <w:color w:val="595959"/>
          <w:sz w:val="18"/>
          <w:szCs w:val="18"/>
        </w:rPr>
        <w:t xml:space="preserve">Sources: Knight Frank India (via Expressnews); Lokmat Times; IBEF.</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GCCs continue to dominate South Indian office demand: 70% of Bengaluru's ~10.8 million sq ft absorption, 55% of Chennai's 3.2 million sq ft, and 48% of Hyderabad's 6.4 million sq ft came from GCCs in H1 2026.</w:t>
      </w:r>
    </w:p>
    <w:p>
      <w:pPr>
        <w:pStyle w:val="ListParagraph"/>
        <w:numPr>
          <w:ilvl w:val="0"/>
          <w:numId w:val="2"/>
        </w:numPr>
        <w:spacing w:after="80"/>
      </w:pPr>
      <w:r>
        <w:rPr>
          <w:b w:val="false"/>
          <w:bCs w:val="false"/>
        </w:rPr>
        <w:t xml:space="preserve">Chennai's office completions surged 149% YoY with leasing reaching 3.6 million sq ft in H1 2026, reinforcing its emergence as a major GCC and manufacturing-linked office market.</w:t>
      </w:r>
    </w:p>
    <w:p>
      <w:pPr>
        <w:pStyle w:val="ListParagraph"/>
        <w:numPr>
          <w:ilvl w:val="0"/>
          <w:numId w:val="2"/>
        </w:numPr>
        <w:spacing w:after="80"/>
      </w:pPr>
      <w:r>
        <w:rPr>
          <w:b w:val="false"/>
          <w:bCs w:val="false"/>
        </w:rPr>
        <w:t xml:space="preserve">India's overall GCC leasing hit a record 9.1 million sq ft in Q1 CY2026 (highest quarterly figure on record), with GCC leasing projected at 60–65 million sq ft over 2026–27 — Bengaluru, Chennai and Hyderabad remain central to this growth.</w:t>
      </w:r>
    </w:p>
    <w:p>
      <w:pPr>
        <w:spacing w:after="150"/>
      </w:pPr>
      <w:r>
        <w:rPr>
          <w:i/>
          <w:iCs/>
          <w:color w:val="595959"/>
          <w:sz w:val="18"/>
          <w:szCs w:val="18"/>
        </w:rPr>
        <w:t xml:space="preserve">Sources: Expressnews (Knight Frank India); Colliers; Investment Guru India; JLL.</w:t>
      </w:r>
    </w:p>
    <w:p>
      <w:pPr>
        <w:pStyle w:val="Heading2"/>
        <w:spacing w:after="100" w:before="200"/>
      </w:pPr>
      <w:r>
        <w:rPr>
          <w:b/>
          <w:bCs/>
          <w:color w:val="C00000"/>
        </w:rPr>
        <w:t xml:space="preserve">South India RERA &amp; CREDAI Updates</w:t>
      </w:r>
    </w:p>
    <w:p>
      <w:pPr>
        <w:pStyle w:val="ListParagraph"/>
        <w:numPr>
          <w:ilvl w:val="0"/>
          <w:numId w:val="2"/>
        </w:numPr>
        <w:spacing w:after="80"/>
      </w:pPr>
      <w:r>
        <w:rPr>
          <w:b w:val="false"/>
          <w:bCs w:val="false"/>
        </w:rPr>
        <w:t xml:space="preserve">CREDAI Hyderabad's February property show (6–8 Feb, HITEX) showcased only RERA-approved projects from member developers under the theme "Permanent Ho Jao"; a second edition is scheduled for 28–30 August 2026, also at HITEX.</w:t>
      </w:r>
    </w:p>
    <w:p>
      <w:pPr>
        <w:pStyle w:val="ListParagraph"/>
        <w:numPr>
          <w:ilvl w:val="0"/>
          <w:numId w:val="2"/>
        </w:numPr>
        <w:spacing w:after="80"/>
      </w:pPr>
      <w:r>
        <w:rPr>
          <w:b w:val="false"/>
          <w:bCs w:val="false"/>
        </w:rPr>
        <w:t xml:space="preserve">The 3rd Realty+ Conclave &amp; Excellence Awards 2026 was held in Hyderabad on 12 February, with CREDAI Hyderabad's president among the panellists discussing the city's next real estate chapter.</w:t>
      </w:r>
    </w:p>
    <w:p>
      <w:pPr>
        <w:pStyle w:val="ListParagraph"/>
        <w:numPr>
          <w:ilvl w:val="0"/>
          <w:numId w:val="2"/>
        </w:numPr>
        <w:spacing w:after="80"/>
      </w:pPr>
      <w:r>
        <w:rPr>
          <w:b w:val="false"/>
          <w:bCs w:val="false"/>
        </w:rPr>
        <w:t xml:space="preserve">Telangana's RERA-driven project registrations have grown from 3,630 (November 2021) to 8,227 (November 2023), with CREDAI Telangana noting that real estate growth is spreading beyond Hyderabad into the districts.</w:t>
      </w:r>
    </w:p>
    <w:p>
      <w:pPr>
        <w:spacing w:after="150"/>
      </w:pPr>
      <w:r>
        <w:rPr>
          <w:i/>
          <w:iCs/>
          <w:color w:val="595959"/>
          <w:sz w:val="18"/>
          <w:szCs w:val="18"/>
        </w:rPr>
        <w:t xml:space="preserve">Sources: 10times; Deccan Chronicle; Realty Plus (rprealtyplus.com).</w:t>
      </w:r>
    </w:p>
    <w:p>
      <w:pPr>
        <w:pStyle w:val="Heading1"/>
        <w:pBdr>
          <w:bottom w:val="single" w:color="1F3864" w:sz="12" w:space="4"/>
        </w:pBdr>
        <w:spacing w:after="150" w:before="400"/>
      </w:pPr>
      <w:r>
        <w:rPr>
          <w:b/>
          <w:bCs/>
          <w:color w:val="1F3864"/>
        </w:rPr>
        <w:t xml:space="preserve">Layer 3 — National</w:t>
      </w:r>
    </w:p>
    <w:p>
      <w:pPr>
        <w:pStyle w:val="Heading2"/>
        <w:spacing w:after="100" w:before="200"/>
      </w:pPr>
      <w:r>
        <w:rPr>
          <w:b/>
          <w:bCs/>
          <w:color w:val="C00000"/>
        </w:rPr>
        <w:t xml:space="preserve">Residential</w:t>
      </w:r>
    </w:p>
    <w:p>
      <w:pPr>
        <w:pStyle w:val="ListParagraph"/>
        <w:numPr>
          <w:ilvl w:val="0"/>
          <w:numId w:val="2"/>
        </w:numPr>
        <w:spacing w:after="80"/>
      </w:pPr>
      <w:r>
        <w:rPr>
          <w:b w:val="false"/>
          <w:bCs w:val="false"/>
        </w:rPr>
        <w:t xml:space="preserve">India's top 8 housing markets sold 1,71,471 units in H1 2026 (+1% YoY) with new launches up 4% to 1,87,350 units; homes above ₹1 crore now make up 54% of sales, up from 49% a year earlier.</w:t>
      </w:r>
    </w:p>
    <w:p>
      <w:pPr>
        <w:pStyle w:val="ListParagraph"/>
        <w:numPr>
          <w:ilvl w:val="0"/>
          <w:numId w:val="2"/>
        </w:numPr>
        <w:spacing w:after="80"/>
      </w:pPr>
      <w:r>
        <w:rPr>
          <w:b w:val="false"/>
          <w:bCs w:val="false"/>
        </w:rPr>
        <w:t xml:space="preserve">NCR's residential market is shifting decisively toward branded developers — Godrej Properties leads NCR's new-launch share at 47%, followed by Prestige Group (27%) and Sobha (10%), as buyers increasingly favour trusted national brands.</w:t>
      </w:r>
    </w:p>
    <w:p>
      <w:pPr>
        <w:pStyle w:val="ListParagraph"/>
        <w:numPr>
          <w:ilvl w:val="0"/>
          <w:numId w:val="2"/>
        </w:numPr>
        <w:spacing w:after="80"/>
      </w:pPr>
      <w:r>
        <w:rPr>
          <w:b w:val="false"/>
          <w:bCs w:val="false"/>
        </w:rPr>
        <w:t xml:space="preserve">Developer momentum stays strong: Puravankara's Q1 sales bookings rose 28% to ₹1,439 crore with collections up 40% YoY to ₹1,199 crore; Oberoi Realty's debut NCR project 'Three Sixty North' logged ~₹8,109 crore in gross bookings on 13.52 lakh sq ft sold.</w:t>
      </w:r>
    </w:p>
    <w:p>
      <w:pPr>
        <w:spacing w:after="150"/>
      </w:pPr>
      <w:r>
        <w:rPr>
          <w:i/>
          <w:iCs/>
          <w:color w:val="595959"/>
          <w:sz w:val="18"/>
          <w:szCs w:val="18"/>
        </w:rPr>
        <w:t xml:space="preserve">Sources: JLL Residential Dynamics Report; IQI Global; Business Standard / company filings.</w:t>
      </w:r>
    </w:p>
    <w:p>
      <w:pPr>
        <w:pStyle w:val="Heading2"/>
        <w:spacing w:after="100" w:before="200"/>
      </w:pPr>
      <w:r>
        <w:rPr>
          <w:b/>
          <w:bCs/>
          <w:color w:val="C00000"/>
        </w:rPr>
        <w:t xml:space="preserve">Commercial, Industrial &amp; Leasing</w:t>
      </w:r>
    </w:p>
    <w:p>
      <w:pPr>
        <w:pStyle w:val="ListParagraph"/>
        <w:numPr>
          <w:ilvl w:val="0"/>
          <w:numId w:val="2"/>
        </w:numPr>
        <w:spacing w:after="80"/>
      </w:pPr>
      <w:r>
        <w:rPr>
          <w:b w:val="false"/>
          <w:bCs w:val="false"/>
        </w:rPr>
        <w:t xml:space="preserve">India's office market posted its strongest-ever quarter in Q2 CY2026, with gross leasing hitting an all-time high of ~24.6 million sq ft, up from 21.9 million sq ft in Q1 2026 (+13% YoY); GCCs accounted for 45% of gross leasing in Jan–June 2026.</w:t>
      </w:r>
    </w:p>
    <w:p>
      <w:pPr>
        <w:pStyle w:val="ListParagraph"/>
        <w:numPr>
          <w:ilvl w:val="0"/>
          <w:numId w:val="2"/>
        </w:numPr>
        <w:spacing w:after="80"/>
      </w:pPr>
      <w:r>
        <w:rPr>
          <w:b w:val="false"/>
          <w:bCs w:val="false"/>
        </w:rPr>
        <w:t xml:space="preserve">REITs/InvITs are institutionalising further — the seven listed REITs/InvITs now carry a combined market cap of over ₹2,100 billion (up from ₹600–650 billion in 2022); office REIT penetration is projected to rise from ~19% today to 25–30% by 2030, and industrial/warehousing InvIT penetration from 4–5% to 7–10%.</w:t>
      </w:r>
    </w:p>
    <w:p>
      <w:pPr>
        <w:pStyle w:val="ListParagraph"/>
        <w:numPr>
          <w:ilvl w:val="0"/>
          <w:numId w:val="2"/>
        </w:numPr>
        <w:spacing w:after="80"/>
      </w:pPr>
      <w:r>
        <w:rPr>
          <w:b w:val="false"/>
          <w:bCs w:val="false"/>
        </w:rPr>
        <w:t xml:space="preserve">Flex space is set to account for nearly 20% of Grade A leasing in 2026, with flex stock projected to reach 85–90 million sq ft nationally as hybrid work models mature.</w:t>
      </w:r>
    </w:p>
    <w:p>
      <w:pPr>
        <w:spacing w:after="150"/>
      </w:pPr>
      <w:r>
        <w:rPr>
          <w:i/>
          <w:iCs/>
          <w:color w:val="595959"/>
          <w:sz w:val="18"/>
          <w:szCs w:val="18"/>
        </w:rPr>
        <w:t xml:space="preserve">Sources: BizzBuzz; Prokerala; Colliers India REIT Market Report; The Realty Today.</w:t>
      </w:r>
    </w:p>
    <w:p>
      <w:pPr>
        <w:pStyle w:val="Heading2"/>
        <w:spacing w:after="100" w:before="200"/>
      </w:pPr>
      <w:r>
        <w:rPr>
          <w:b/>
          <w:bCs/>
          <w:color w:val="C00000"/>
        </w:rPr>
        <w:t xml:space="preserve">National CREDAI &amp; RERA Updates</w:t>
      </w:r>
    </w:p>
    <w:p>
      <w:pPr>
        <w:pStyle w:val="ListParagraph"/>
        <w:numPr>
          <w:ilvl w:val="0"/>
          <w:numId w:val="2"/>
        </w:numPr>
        <w:spacing w:after="80"/>
      </w:pPr>
      <w:r>
        <w:rPr>
          <w:b w:val="false"/>
          <w:bCs w:val="false"/>
        </w:rPr>
        <w:t xml:space="preserve">Union Home Minister Amit Shah addressed CREDAI's national conference (December 2025), calling real estate central to the Viksit Bharat vision and projecting India's urbanisation to rise to ~40% by 2035 and ~50% by 2047.</w:t>
      </w:r>
    </w:p>
    <w:p>
      <w:pPr>
        <w:pStyle w:val="ListParagraph"/>
        <w:numPr>
          <w:ilvl w:val="0"/>
          <w:numId w:val="2"/>
        </w:numPr>
        <w:spacing w:after="80"/>
      </w:pPr>
      <w:r>
        <w:rPr>
          <w:b w:val="false"/>
          <w:bCs w:val="false"/>
        </w:rPr>
        <w:t xml:space="preserve">RERA now has more than 1.55 lakh registered real estate projects and over 1.10 lakh registered developers nationally, cementing its role as a globally recognised consumer-protection framework.</w:t>
      </w:r>
    </w:p>
    <w:p>
      <w:pPr>
        <w:pStyle w:val="ListParagraph"/>
        <w:numPr>
          <w:ilvl w:val="0"/>
          <w:numId w:val="2"/>
        </w:numPr>
        <w:spacing w:after="80"/>
      </w:pPr>
      <w:r>
        <w:rPr>
          <w:b w:val="false"/>
          <w:bCs w:val="false"/>
        </w:rPr>
        <w:t xml:space="preserve">CREDAI has presented a 5-point national policy agenda to the Union Minister, including a push for RERA procedural reforms and dedicated workshops to close implementation gaps between states.</w:t>
      </w:r>
    </w:p>
    <w:p>
      <w:pPr>
        <w:pStyle w:val="ListParagraph"/>
        <w:numPr>
          <w:ilvl w:val="0"/>
          <w:numId w:val="2"/>
        </w:numPr>
        <w:spacing w:after="80"/>
      </w:pPr>
      <w:r>
        <w:rPr>
          <w:b w:val="false"/>
          <w:bCs w:val="false"/>
        </w:rPr>
        <w:t xml:space="preserve">In May 2026, CREDAI formally urged the Ministry of Housing and Urban Affairs (MoHUA) to direct state RERAs to extend project-completion timelines nationally, citing rising costs, labour shortages and supply-chain disruptions.</w:t>
      </w:r>
    </w:p>
    <w:p>
      <w:pPr>
        <w:spacing w:after="150"/>
      </w:pPr>
      <w:r>
        <w:rPr>
          <w:i/>
          <w:iCs/>
          <w:color w:val="595959"/>
          <w:sz w:val="18"/>
          <w:szCs w:val="18"/>
        </w:rPr>
        <w:t xml:space="preserve">Sources: DD News; CREDAI Newsletter (credai.org); Outlook Money.</w:t>
      </w:r>
    </w:p>
    <w:p>
      <w:pPr>
        <w:pBdr>
          <w:top w:val="single" w:color="BFBFBF" w:sz="6" w:space="4"/>
        </w:pBdr>
        <w:spacing w:before="400"/>
      </w:pPr>
      <w:r>
        <w:rPr>
          <w:i/>
          <w:iCs/>
          <w:color w:val="595959"/>
          <w:sz w:val="16"/>
          <w:szCs w:val="16"/>
        </w:rPr>
        <w:t xml:space="preserve">Methodology note: This digest is compiled through web-based monitoring of real estate trade portals (ET Realty, Moneycontrol Real Estate/Property, Housing.com, Magicbricks, RealtyNXT, Realty Plus) and other business media, RERA authority orders/notices, and CREDAI communications. Some publisher sites restrict direct automated access; where that occurs, coverage is corroborated through secondary reporting and cited accordingly. Figures are the latest publicly available as of the digest date and should be independently verified before use in decision-making.</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2026-07-20T03:40:43.529Z</dcterms:created>
  <dcterms:modified xsi:type="dcterms:W3CDTF">2026-07-20T03:40:43.540Z</dcterms:modified>
</cp:coreProperties>
</file>

<file path=docProps/custom.xml><?xml version="1.0" encoding="utf-8"?>
<Properties xmlns="http://schemas.openxmlformats.org/officeDocument/2006/custom-properties" xmlns:vt="http://schemas.openxmlformats.org/officeDocument/2006/docPropsVTypes"/>
</file>