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11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Electronic City Phase 2 has emerged as South Bengaluru's most dynamic growth pocket over the past five years, with apartment prices averaging ₹7,350–8,200 per sq ft and large-scale township offerings — multiple towers, open greens, clubhouses and retail hubs — increasingly drawing families who once favoured Phase 1.</w:t>
      </w:r>
    </w:p>
    <w:p>
      <w:pPr>
        <w:pStyle w:val="ListParagraph"/>
        <w:numPr>
          <w:ilvl w:val="0"/>
          <w:numId w:val="2"/>
        </w:numPr>
        <w:spacing w:after="80"/>
      </w:pPr>
      <w:r>
        <w:rPr>
          <w:b w:val="false"/>
          <w:bCs w:val="false"/>
        </w:rPr>
        <w:t xml:space="preserve">Bengaluru's H1 2026 residential sales rose 5% YoY to 27,968 units, with citywide property prices up 9% to an average of ₹9,354 per sq ft, reflecting steady demand even as the market matures from earlier peaks.</w:t>
      </w:r>
    </w:p>
    <w:p>
      <w:pPr>
        <w:pStyle w:val="ListParagraph"/>
        <w:numPr>
          <w:ilvl w:val="0"/>
          <w:numId w:val="2"/>
        </w:numPr>
        <w:spacing w:after="80"/>
      </w:pPr>
      <w:r>
        <w:rPr>
          <w:b w:val="false"/>
          <w:bCs w:val="false"/>
        </w:rPr>
        <w:t xml:space="preserve">The Electronic City belt accounted for roughly 22–25% of Bengaluru's new residential supply in 2023-24, with Phase 2 recording the sharpest growth as rising social infrastructure narrows its gap with the more established Phase 1.</w:t>
      </w:r>
    </w:p>
    <w:p>
      <w:pPr>
        <w:spacing w:after="150"/>
      </w:pPr>
      <w:r>
        <w:rPr>
          <w:i/>
          <w:iCs/>
          <w:color w:val="595959"/>
          <w:sz w:val="18"/>
          <w:szCs w:val="18"/>
        </w:rPr>
        <w:t xml:space="preserve">Sources: Puravankara (Electronic City Phase 2 growth, pricing); Brigade Group/99acres (H1 2026 citywide sales and price data).</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recorded 5.36 million sq ft of GCC office leasing in H1 2026 — the largest of any Indian city — ahead of Pune (3.01 million sq ft), Delhi-NCR (2.37 million sq ft) and Mumbai (2.23 million sq ft), per Cushman &amp; Wakefield.</w:t>
      </w:r>
    </w:p>
    <w:p>
      <w:pPr>
        <w:pStyle w:val="ListParagraph"/>
        <w:numPr>
          <w:ilvl w:val="0"/>
          <w:numId w:val="2"/>
        </w:numPr>
        <w:spacing w:after="80"/>
      </w:pPr>
      <w:r>
        <w:rPr>
          <w:b w:val="false"/>
          <w:bCs w:val="false"/>
        </w:rPr>
        <w:t xml:space="preserve">The city's Q2 2026 gross office leasing reached 5.6 million sq ft, with GCCs accounting for 52% of the quarter's activity alongside strong demand from engineering and manufacturing, BFSI and IT-BPM occupiers.</w:t>
      </w:r>
    </w:p>
    <w:p>
      <w:pPr>
        <w:pStyle w:val="ListParagraph"/>
        <w:numPr>
          <w:ilvl w:val="0"/>
          <w:numId w:val="2"/>
        </w:numPr>
        <w:spacing w:after="80"/>
      </w:pPr>
      <w:r>
        <w:rPr>
          <w:b w:val="false"/>
          <w:bCs w:val="false"/>
        </w:rPr>
        <w:t xml:space="preserve">Bengaluru, Pune, Delhi-NCR and Mumbai together captured nearly 80% of India's total GCC office leasing in H1 2026, underscoring Bengaluru's continued dominance of the country's most important commercial real estate demand driver.</w:t>
      </w:r>
    </w:p>
    <w:p>
      <w:pPr>
        <w:spacing w:after="150"/>
      </w:pPr>
      <w:r>
        <w:rPr>
          <w:i/>
          <w:iCs/>
          <w:color w:val="595959"/>
          <w:sz w:val="18"/>
          <w:szCs w:val="18"/>
        </w:rPr>
        <w:t xml:space="preserve">Sources: Cushman &amp; Wakefield via ANI/WebIndia123 (H1 2026 GCC leasing by city, four-city concentration).</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of Electronic City Phase 2's large-format township launches remains a priority as the corridor continues absorbing a disproportionate share of Bengaluru's new residential supply.</w:t>
      </w:r>
    </w:p>
    <w:p>
      <w:pPr>
        <w:pStyle w:val="ListParagraph"/>
        <w:numPr>
          <w:ilvl w:val="0"/>
          <w:numId w:val="2"/>
        </w:numPr>
        <w:spacing w:after="80"/>
      </w:pPr>
      <w:r>
        <w:rPr>
          <w:b w:val="false"/>
          <w:bCs w:val="false"/>
        </w:rPr>
        <w:t xml:space="preserve">CREDAI Karnataka continues to cite Bengaluru's continued GCC office-leasing dominance (5.36 million sq ft H1 2026) as the structural demand engine sustaining residential absorption in IT-linked corridors like Electronic City.</w:t>
      </w:r>
    </w:p>
    <w:p>
      <w:pPr>
        <w:pStyle w:val="ListParagraph"/>
        <w:numPr>
          <w:ilvl w:val="0"/>
          <w:numId w:val="2"/>
        </w:numPr>
        <w:spacing w:after="80"/>
      </w:pPr>
      <w:r>
        <w:rPr>
          <w:b w:val="false"/>
          <w:bCs w:val="false"/>
        </w:rPr>
        <w:t xml:space="preserve">With citywide H1 2026 sales up 5% YoY and prices up 9%, Karnataka's regulatory bodies continue to monitor price-disclosure practices across both established and emerging South Bengaluru corridors.</w:t>
      </w:r>
    </w:p>
    <w:p>
      <w:pPr>
        <w:spacing w:after="150"/>
      </w:pPr>
      <w:r>
        <w:rPr>
          <w:i/>
          <w:iCs/>
          <w:color w:val="595959"/>
          <w:sz w:val="18"/>
          <w:szCs w:val="18"/>
        </w:rPr>
        <w:t xml:space="preserve">Sources: Puravankara; Cushman &amp; Wakefield via ANI; Brigade Group/99acres.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residential market remained stable in H1 2026, with modest sales growth and steady absorption across mid- and premium housing segments, while Banjara Hills led the city in price appreciation.</w:t>
      </w:r>
    </w:p>
    <w:p>
      <w:pPr>
        <w:pStyle w:val="ListParagraph"/>
        <w:numPr>
          <w:ilvl w:val="0"/>
          <w:numId w:val="2"/>
        </w:numPr>
        <w:spacing w:after="80"/>
      </w:pPr>
      <w:r>
        <w:rPr>
          <w:b w:val="false"/>
          <w:bCs w:val="false"/>
        </w:rPr>
        <w:t xml:space="preserve">From January 2026, every Telangana developer must display a QR code on project site hoardings, brochures and advertisements linking directly to the project's TSRERA registration page, letting buyers instantly verify approval status and completion timelines.</w:t>
      </w:r>
    </w:p>
    <w:p>
      <w:pPr>
        <w:pStyle w:val="ListParagraph"/>
        <w:numPr>
          <w:ilvl w:val="0"/>
          <w:numId w:val="2"/>
        </w:numPr>
        <w:spacing w:after="80"/>
      </w:pPr>
      <w:r>
        <w:rPr>
          <w:b w:val="false"/>
          <w:bCs w:val="false"/>
        </w:rPr>
        <w:t xml:space="preserve">Since October 2025, all Agreements to Sell for TSRERA-registered projects in Telangana must be registered online through the TSRERA e-filing portal within 30 days of execution, tightening documentation compliance for both developers and buyers.</w:t>
      </w:r>
    </w:p>
    <w:p>
      <w:pPr>
        <w:spacing w:after="150"/>
      </w:pPr>
      <w:r>
        <w:rPr>
          <w:i/>
          <w:iCs/>
          <w:color w:val="595959"/>
          <w:sz w:val="18"/>
          <w:szCs w:val="18"/>
        </w:rPr>
        <w:t xml:space="preserve">Sources: Telangana Today (Hyderabad H1 2026 market, Banjara Hills appreciation); HousingPal/RERA.news (TSRERA QR-code mandate, online ATS registration).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Hyderabad's office market recorded its highest-ever first-half leasing volume in H1 2026, reinforcing the city's continued strength as a GCC and IT-BPM commercial hub alongside its stable residential market.</w:t>
      </w:r>
    </w:p>
    <w:p>
      <w:pPr>
        <w:pStyle w:val="ListParagraph"/>
        <w:numPr>
          <w:ilvl w:val="0"/>
          <w:numId w:val="2"/>
        </w:numPr>
        <w:spacing w:after="80"/>
      </w:pPr>
      <w:r>
        <w:rPr>
          <w:b w:val="false"/>
          <w:bCs w:val="false"/>
        </w:rPr>
        <w:t xml:space="preserve">Indian Bank is hosting Assets Fair 2025 in Somajiguda, Hyderabad, on 20-21 September, featuring more than 120 residential and commercial properties across multiple zones — a notable channel for bank-repossessed asset sales in the city.</w:t>
      </w:r>
    </w:p>
    <w:p>
      <w:pPr>
        <w:pStyle w:val="ListParagraph"/>
        <w:numPr>
          <w:ilvl w:val="0"/>
          <w:numId w:val="2"/>
        </w:numPr>
        <w:spacing w:after="80"/>
      </w:pPr>
      <w:r>
        <w:rPr>
          <w:b w:val="false"/>
          <w:bCs w:val="false"/>
        </w:rPr>
        <w:t xml:space="preserve">Chennai and Hyderabad both rank among India's preferred data-centre real estate locations alongside Mumbai, Navi Mumbai and Pune, positioning South India's two largest commercial hubs for a fresh wave of institutional real estate investment.</w:t>
      </w:r>
    </w:p>
    <w:p>
      <w:pPr>
        <w:spacing w:after="150"/>
      </w:pPr>
      <w:r>
        <w:rPr>
          <w:i/>
          <w:iCs/>
          <w:color w:val="595959"/>
          <w:sz w:val="18"/>
          <w:szCs w:val="18"/>
        </w:rPr>
        <w:t xml:space="preserve">Sources: Telangana Today (Hyderabad H1 2026 office leasing); Chiru Patel (Hyderabad real estate updates); SquareYards (data-centre preferred locations).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TSRERA's new QR-code transparency mandate and mandatory online ATS registration reflect a significant compliance tightening, building on the more than 8,000 projects already registered and 5,000+ buyer complaints resolved statewide since the authority's launch.</w:t>
      </w:r>
    </w:p>
    <w:p>
      <w:pPr>
        <w:pStyle w:val="ListParagraph"/>
        <w:numPr>
          <w:ilvl w:val="0"/>
          <w:numId w:val="2"/>
        </w:numPr>
        <w:spacing w:after="80"/>
      </w:pPr>
      <w:r>
        <w:rPr>
          <w:b w:val="false"/>
          <w:bCs w:val="false"/>
        </w:rPr>
        <w:t xml:space="preserve">CREDAI Telangana members now face clear new disclosure and documentation obligations to track as both requirements roll out fully across the state's registered project pipeline.</w:t>
      </w:r>
    </w:p>
    <w:p>
      <w:pPr>
        <w:pStyle w:val="ListParagraph"/>
        <w:numPr>
          <w:ilvl w:val="0"/>
          <w:numId w:val="2"/>
        </w:numPr>
        <w:spacing w:after="80"/>
      </w:pPr>
      <w:r>
        <w:rPr>
          <w:b w:val="false"/>
          <w:bCs w:val="false"/>
        </w:rPr>
        <w:t xml:space="preserve">Chennai's emergence among India's top data-centre real estate destinations gives Tamil Nadu CREDAI a fresh institutional-investment growth angle to track alongside the state's residential and GCC-driven office demand.</w:t>
      </w:r>
    </w:p>
    <w:p>
      <w:pPr>
        <w:spacing w:after="150"/>
      </w:pPr>
      <w:r>
        <w:rPr>
          <w:i/>
          <w:iCs/>
          <w:color w:val="595959"/>
          <w:sz w:val="18"/>
          <w:szCs w:val="18"/>
        </w:rPr>
        <w:t xml:space="preserve">Sources: HousingPal/RERA.news; SquareYards.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Private equity investment in India's real estate sector reached $3.2 billion in H1 2026, up 33% YoY, with data centres leading all asset classes at a 38% share of total Q2 2026 inflows — overtaking the traditionally dominant office segment.</w:t>
      </w:r>
    </w:p>
    <w:p>
      <w:pPr>
        <w:pStyle w:val="ListParagraph"/>
        <w:numPr>
          <w:ilvl w:val="0"/>
          <w:numId w:val="2"/>
        </w:numPr>
        <w:spacing w:after="80"/>
      </w:pPr>
      <w:r>
        <w:rPr>
          <w:b w:val="false"/>
          <w:bCs w:val="false"/>
        </w:rPr>
        <w:t xml:space="preserve">India's data centre real estate market is projected to require 10 million sq ft of new space by 2026, demanding roughly USD 5.7 billion in investment as AI adoption and cloud infrastructure expansion accelerate nationally.</w:t>
      </w:r>
    </w:p>
    <w:p>
      <w:pPr>
        <w:pStyle w:val="ListParagraph"/>
        <w:numPr>
          <w:ilvl w:val="0"/>
          <w:numId w:val="2"/>
        </w:numPr>
        <w:spacing w:after="80"/>
      </w:pPr>
      <w:r>
        <w:rPr>
          <w:b w:val="false"/>
          <w:bCs w:val="false"/>
        </w:rPr>
        <w:t xml:space="preserve">The India Data Center Market, valued at USD 9.79 billion in 2025, is projected to reach USD 21.03 billion by 2031 at a 13.59% CAGR, positioning it as one of the fastest-growing segments of India's real estate economy.</w:t>
      </w:r>
    </w:p>
    <w:p>
      <w:pPr>
        <w:spacing w:after="150"/>
      </w:pPr>
      <w:r>
        <w:rPr>
          <w:i/>
          <w:iCs/>
          <w:color w:val="595959"/>
          <w:sz w:val="18"/>
          <w:szCs w:val="18"/>
        </w:rPr>
        <w:t xml:space="preserve">Sources: The Hans India/AlphaMaven (H1 2026 PE investment, data-centre share); ResearchAndMarkets/Boston Institute of Analytics (India data centre market size, CAGR).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Digital Personal Data Protection (DPDP) Act's May 2027 compliance deadline is mandating local data residency for many firms, forcing global companies to lease Indian data-centre space well ahead of the deadline.</w:t>
      </w:r>
    </w:p>
    <w:p>
      <w:pPr>
        <w:pStyle w:val="ListParagraph"/>
        <w:numPr>
          <w:ilvl w:val="0"/>
          <w:numId w:val="2"/>
        </w:numPr>
        <w:spacing w:after="80"/>
      </w:pPr>
      <w:r>
        <w:rPr>
          <w:b w:val="false"/>
          <w:bCs w:val="false"/>
        </w:rPr>
        <w:t xml:space="preserve">Mumbai, Navi Mumbai, Hyderabad, Chennai and Pune remain India's preferred data-centre locations, with major colocation providers — ST Telemedia Global Data Centres, NTT DATA, CtrlS, Equinix, Sify Technologies and Nxtra by Airtel — driving fresh investment across these markets.</w:t>
      </w:r>
    </w:p>
    <w:p>
      <w:pPr>
        <w:pStyle w:val="ListParagraph"/>
        <w:numPr>
          <w:ilvl w:val="0"/>
          <w:numId w:val="2"/>
        </w:numPr>
        <w:spacing w:after="80"/>
      </w:pPr>
      <w:r>
        <w:rPr>
          <w:b w:val="false"/>
          <w:bCs w:val="false"/>
        </w:rPr>
        <w:t xml:space="preserve">Rising AI adoption across sectors is expected to drive the next growth phase for India's data-centre-linked commercial real estate, complementing continued GCC-driven office leasing strength in cities like Bengaluru and Hyderabad.</w:t>
      </w:r>
    </w:p>
    <w:p>
      <w:pPr>
        <w:spacing w:after="150"/>
      </w:pPr>
      <w:r>
        <w:rPr>
          <w:i/>
          <w:iCs/>
          <w:color w:val="595959"/>
          <w:sz w:val="18"/>
          <w:szCs w:val="18"/>
        </w:rPr>
        <w:t xml:space="preserve">Sources: JLL (India data centre industry); SquareYards (preferred locations, colocation providers).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rapid rise of data centres as a distinct real estate asset class (38% share of Q2 2026 PE inflows) is prompting industry bodies to consider specialised zoning and registration frameworks separate from traditional residential and office RERA categories.</w:t>
      </w:r>
    </w:p>
    <w:p>
      <w:pPr>
        <w:pStyle w:val="ListParagraph"/>
        <w:numPr>
          <w:ilvl w:val="0"/>
          <w:numId w:val="2"/>
        </w:numPr>
        <w:spacing w:after="80"/>
      </w:pPr>
      <w:r>
        <w:rPr>
          <w:b w:val="false"/>
          <w:bCs w:val="false"/>
        </w:rPr>
        <w:t xml:space="preserve">Telangana's new TSRERA QR-code and online Agreement-to-Sell registration mandates could serve as a template for other state RERAs seeking greater buyer-facing transparency in developer transactions nationally.</w:t>
      </w:r>
    </w:p>
    <w:p>
      <w:pPr>
        <w:pStyle w:val="ListParagraph"/>
        <w:numPr>
          <w:ilvl w:val="0"/>
          <w:numId w:val="2"/>
        </w:numPr>
        <w:spacing w:after="80"/>
      </w:pPr>
      <w:r>
        <w:rPr>
          <w:b w:val="false"/>
          <w:bCs w:val="false"/>
        </w:rPr>
        <w:t xml:space="preserve">Bengaluru's continued GCC office-leasing dominance (5.36 million sq ft H1 2026) alongside the emerging data-centre investment wave reinforces India's dual commercial real estate growth engines heading into FY27.</w:t>
      </w:r>
    </w:p>
    <w:p>
      <w:pPr>
        <w:spacing w:after="150"/>
      </w:pPr>
      <w:r>
        <w:rPr>
          <w:i/>
          <w:iCs/>
          <w:color w:val="595959"/>
          <w:sz w:val="18"/>
          <w:szCs w:val="18"/>
        </w:rPr>
        <w:t xml:space="preserve">Sources: The Hans India/AlphaMaven; HousingPal/RERA.news; Cushman &amp; Wakefield via ANI.</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2026-09-11T03:39:47.340Z</dcterms:created>
  <dcterms:modified xsi:type="dcterms:W3CDTF">2026-09-11T03:39:47.358Z</dcterms:modified>
</cp:coreProperties>
</file>

<file path=docProps/custom.xml><?xml version="1.0" encoding="utf-8"?>
<Properties xmlns="http://schemas.openxmlformats.org/officeDocument/2006/custom-properties" xmlns:vt="http://schemas.openxmlformats.org/officeDocument/2006/docPropsVTypes"/>
</file>