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Saturday, 3 October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The Bangalore Development Authority (Amendment) Bill, 2026 has been passed, halving regularisation charges for 1,11,560 unauthorised houses across BDA layouts — easing legal ownership and bank-loan access for affected owners.</w:t>
      </w:r>
    </w:p>
    <w:p>
      <w:pPr>
        <w:pStyle w:val="ListParagraph"/>
        <w:numPr>
          <w:ilvl w:val="0"/>
          <w:numId w:val="2"/>
        </w:numPr>
        <w:spacing w:after="80"/>
      </w:pPr>
      <w:r>
        <w:rPr>
          <w:b w:val="false"/>
          <w:bCs w:val="false"/>
        </w:rPr>
        <w:t xml:space="preserve">Apartment prices in Rajarajeshwari Nagar reached ₹9,950 per sq ft in the July-September 2026 quarter, an 18% appreciation from the previous quarter.</w:t>
      </w:r>
    </w:p>
    <w:p>
      <w:pPr>
        <w:pStyle w:val="ListParagraph"/>
        <w:numPr>
          <w:ilvl w:val="0"/>
          <w:numId w:val="2"/>
        </w:numPr>
        <w:spacing w:after="80"/>
      </w:pPr>
      <w:r>
        <w:rPr>
          <w:b w:val="false"/>
          <w:bCs w:val="false"/>
        </w:rPr>
        <w:t xml:space="preserve">HBR Layout's metro station, under construction as part of Namma Metro's Blue Line Phase 2B, is expected to open in December 2027, adding a further connectivity catalyst to this established North-East Bengaluru locality.</w:t>
      </w:r>
    </w:p>
    <w:p>
      <w:pPr>
        <w:spacing w:after="150"/>
      </w:pPr>
      <w:r>
        <w:rPr>
          <w:i/>
          <w:iCs/>
          <w:color w:val="595959"/>
          <w:sz w:val="18"/>
          <w:szCs w:val="18"/>
        </w:rPr>
        <w:t xml:space="preserve">Sources: Deccan Herald (BDA Amendment Bill 2026, regularisation charges); 99acres (Rajarajeshwari Nagar pricing); Wikipedia (HBR Layout metro station timeline).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Namma Metro's Pink Line is undergoing a three-day Commissioner of Metro Railway Safety inspection from 6-8 October, covering the Kalena Agrahara-Tavarekere stretch's motor trolley runs, depot checks and Operational Control Centre review ahead of opening.</w:t>
      </w:r>
    </w:p>
    <w:p>
      <w:pPr>
        <w:pStyle w:val="ListParagraph"/>
        <w:numPr>
          <w:ilvl w:val="0"/>
          <w:numId w:val="2"/>
        </w:numPr>
        <w:spacing w:after="80"/>
      </w:pPr>
      <w:r>
        <w:rPr>
          <w:b w:val="false"/>
          <w:bCs w:val="false"/>
        </w:rPr>
        <w:t xml:space="preserve">Once the Pink Line opens, Bengaluru's metro network will span 103.6 km, overtaking Mumbai to become India's second-longest metro network — a significant boost for commercial and retail catchments along the new corridor.</w:t>
      </w:r>
    </w:p>
    <w:p>
      <w:pPr>
        <w:pStyle w:val="ListParagraph"/>
        <w:numPr>
          <w:ilvl w:val="0"/>
          <w:numId w:val="2"/>
        </w:numPr>
        <w:spacing w:after="80"/>
      </w:pPr>
      <w:r>
        <w:rPr>
          <w:b w:val="false"/>
          <w:bCs w:val="false"/>
        </w:rPr>
        <w:t xml:space="preserve">Continued BDA regularisation reforms are expected to bring previously unauthorised properties into the formal commercial and lending ecosystem, widening the base of bankable real estate assets across BDA layouts.</w:t>
      </w:r>
    </w:p>
    <w:p>
      <w:pPr>
        <w:spacing w:after="150"/>
      </w:pPr>
      <w:r>
        <w:rPr>
          <w:i/>
          <w:iCs/>
          <w:color w:val="595959"/>
          <w:sz w:val="18"/>
          <w:szCs w:val="18"/>
        </w:rPr>
        <w:t xml:space="preserve">Sources: Deccan Herald (Pink Line safety inspection, network length); Deccan Herald (BDA regularisation impact).</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is likely to welcome the BDA Amendment Bill 2026's halved regularisation charges as a long-sought relief measure benefiting over a lakh property owners across the state.</w:t>
      </w:r>
    </w:p>
    <w:p>
      <w:pPr>
        <w:pStyle w:val="ListParagraph"/>
        <w:numPr>
          <w:ilvl w:val="0"/>
          <w:numId w:val="2"/>
        </w:numPr>
        <w:spacing w:after="80"/>
      </w:pPr>
      <w:r>
        <w:rPr>
          <w:b w:val="false"/>
          <w:bCs w:val="false"/>
        </w:rPr>
        <w:t xml:space="preserve">K-RERA's continued oversight of HBR Layout and Pink Line-adjacent project registrations remains a priority as metro-linked connectivity reshapes demand across newly accessible corridors.</w:t>
      </w:r>
    </w:p>
    <w:p>
      <w:pPr>
        <w:pStyle w:val="ListParagraph"/>
        <w:numPr>
          <w:ilvl w:val="0"/>
          <w:numId w:val="2"/>
        </w:numPr>
        <w:spacing w:after="80"/>
      </w:pPr>
      <w:r>
        <w:rPr>
          <w:b w:val="false"/>
          <w:bCs w:val="false"/>
        </w:rPr>
        <w:t xml:space="preserve">CREDAI Karnataka members are likely tracking the Pink Line's October safety inspection closely, given the corridor's potential to unlock fresh project launches once services begin.</w:t>
      </w:r>
    </w:p>
    <w:p>
      <w:pPr>
        <w:spacing w:after="150"/>
      </w:pPr>
      <w:r>
        <w:rPr>
          <w:i/>
          <w:iCs/>
          <w:color w:val="595959"/>
          <w:sz w:val="18"/>
          <w:szCs w:val="18"/>
        </w:rPr>
        <w:t xml:space="preserve">Sources: Deccan Herald (BDA Amendment Bill, Pink Line inspection); Wikipedia (HBR Layout metro station).</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TGRERA has stopped Pacifica Constructions Pvt Ltd from cancelling a buyer's allotment in its "Aavas Hyderabad" project over a disputed ₹7.1 lakh extra demand, barring any sale, transfer or third-party rights over the flat until the next hearing on 15 October 2026.</w:t>
      </w:r>
    </w:p>
    <w:p>
      <w:pPr>
        <w:pStyle w:val="ListParagraph"/>
        <w:numPr>
          <w:ilvl w:val="0"/>
          <w:numId w:val="2"/>
        </w:numPr>
        <w:spacing w:after="80"/>
      </w:pPr>
      <w:r>
        <w:rPr>
          <w:b w:val="false"/>
          <w:bCs w:val="false"/>
        </w:rPr>
        <w:t xml:space="preserve">Average Hyderabad property rates rose 9% YoY as of Q2 2026, even as demand shifts noticeably from high-rise apartments toward HMDA-approved open plots and villa communities amid rising construction costs.</w:t>
      </w:r>
    </w:p>
    <w:p>
      <w:pPr>
        <w:pStyle w:val="ListParagraph"/>
        <w:numPr>
          <w:ilvl w:val="0"/>
          <w:numId w:val="2"/>
        </w:numPr>
        <w:spacing w:after="80"/>
      </w:pPr>
      <w:r>
        <w:rPr>
          <w:b w:val="false"/>
          <w:bCs w:val="false"/>
        </w:rPr>
        <w:t xml:space="preserve">Telangana's latest amendment to Transferable Development Rights (TDR) rules gives landowners and developers greater flexibility in utilising and disposing of TDR certificates issued by HMDA.</w:t>
      </w:r>
    </w:p>
    <w:p>
      <w:pPr>
        <w:spacing w:after="150"/>
      </w:pPr>
      <w:r>
        <w:rPr>
          <w:i/>
          <w:iCs/>
          <w:color w:val="595959"/>
          <w:sz w:val="18"/>
          <w:szCs w:val="18"/>
        </w:rPr>
        <w:t xml:space="preserve">Sources: Hyderabad Mail (TGRERA order against Pacifica Constructions); Sobha/PingTV (Hyderabad Q2 2026 price trends, plotted-development shift); RegNews (Telangana TDR rule amendment).</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TGRERA is establishing a dedicated enforcement wing to address developer non-compliance and expedite project approvals across Telangana.</w:t>
      </w:r>
    </w:p>
    <w:p>
      <w:pPr>
        <w:pStyle w:val="ListParagraph"/>
        <w:numPr>
          <w:ilvl w:val="0"/>
          <w:numId w:val="2"/>
        </w:numPr>
        <w:spacing w:after="80"/>
      </w:pPr>
      <w:r>
        <w:rPr>
          <w:b w:val="false"/>
          <w:bCs w:val="false"/>
        </w:rPr>
        <w:t xml:space="preserve">The TDR rule amendment's added flexibility is expected to ease land monetisation for eligible owners and developers, supporting continued commercial and mixed-use development around HMDA-approved zones.</w:t>
      </w:r>
    </w:p>
    <w:p>
      <w:pPr>
        <w:pStyle w:val="ListParagraph"/>
        <w:numPr>
          <w:ilvl w:val="0"/>
          <w:numId w:val="2"/>
        </w:numPr>
        <w:spacing w:after="80"/>
      </w:pPr>
      <w:r>
        <w:rPr>
          <w:b w:val="false"/>
          <w:bCs w:val="false"/>
        </w:rPr>
        <w:t xml:space="preserve">Hyderabad's continued shift toward plotted and villa developments is reshaping demand for supporting retail and commercial infrastructure in HMDA's approved-layout belts.</w:t>
      </w:r>
    </w:p>
    <w:p>
      <w:pPr>
        <w:spacing w:after="150"/>
      </w:pPr>
      <w:r>
        <w:rPr>
          <w:i/>
          <w:iCs/>
          <w:color w:val="595959"/>
          <w:sz w:val="18"/>
          <w:szCs w:val="18"/>
        </w:rPr>
        <w:t xml:space="preserve">Sources: PingTV (TGRERA enforcement wing); RegNews (TDR rule flexibility); Sobha.</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TGRERA's order against Pacifica Constructions adds to the regulator's growing enforcement record on developer-side cancellation disputes, reinforcing buyer-protection discipline in Hyderabad.</w:t>
      </w:r>
    </w:p>
    <w:p>
      <w:pPr>
        <w:pStyle w:val="ListParagraph"/>
        <w:numPr>
          <w:ilvl w:val="0"/>
          <w:numId w:val="2"/>
        </w:numPr>
        <w:spacing w:after="80"/>
      </w:pPr>
      <w:r>
        <w:rPr>
          <w:b w:val="false"/>
          <w:bCs w:val="false"/>
        </w:rPr>
        <w:t xml:space="preserve">CREDAI Telangana is likely to welcome TGRERA's new enforcement wing as a step toward faster project approvals, even as it raises compliance expectations for developers.</w:t>
      </w:r>
    </w:p>
    <w:p>
      <w:pPr>
        <w:pStyle w:val="ListParagraph"/>
        <w:numPr>
          <w:ilvl w:val="0"/>
          <w:numId w:val="2"/>
        </w:numPr>
        <w:spacing w:after="80"/>
      </w:pPr>
      <w:r>
        <w:rPr>
          <w:b w:val="false"/>
          <w:bCs w:val="false"/>
        </w:rPr>
        <w:t xml:space="preserve">The TDR rule amendment's flexibility is expected to be cited by CREDAI Telangana as a positive policy shift supporting continued plotted-development and villa-community growth statewide.</w:t>
      </w:r>
    </w:p>
    <w:p>
      <w:pPr>
        <w:spacing w:after="150"/>
      </w:pPr>
      <w:r>
        <w:rPr>
          <w:i/>
          <w:iCs/>
          <w:color w:val="595959"/>
          <w:sz w:val="18"/>
          <w:szCs w:val="18"/>
        </w:rPr>
        <w:t xml:space="preserve">Sources: Hyderabad Mail; PingTV; RegNews.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real estate market recorded a record $9.5 billion in equity investment in Q3 2026 — more than double the $4.4 billion seen a year earlier — with roughly 72% of capital deployed toward office, residential and data-centre developments.</w:t>
      </w:r>
    </w:p>
    <w:p>
      <w:pPr>
        <w:pStyle w:val="ListParagraph"/>
        <w:numPr>
          <w:ilvl w:val="0"/>
          <w:numId w:val="2"/>
        </w:numPr>
        <w:spacing w:after="80"/>
      </w:pPr>
      <w:r>
        <w:rPr>
          <w:b w:val="false"/>
          <w:bCs w:val="false"/>
        </w:rPr>
        <w:t xml:space="preserve">Foreign investors contributed approximately 59% of Q3 2026 inflows, marking a significant return of overseas capital into India's residential and broader real estate markets.</w:t>
      </w:r>
    </w:p>
    <w:p>
      <w:pPr>
        <w:pStyle w:val="ListParagraph"/>
        <w:numPr>
          <w:ilvl w:val="0"/>
          <w:numId w:val="2"/>
        </w:numPr>
        <w:spacing w:after="80"/>
      </w:pPr>
      <w:r>
        <w:rPr>
          <w:b w:val="false"/>
          <w:bCs w:val="false"/>
        </w:rPr>
        <w:t xml:space="preserve">Continued institutional capital deployment into residential-linked development sites is reinforcing confidence in India's housing sector even as data centres capture the single largest investment share.</w:t>
      </w:r>
    </w:p>
    <w:p>
      <w:pPr>
        <w:spacing w:after="150"/>
      </w:pPr>
      <w:r>
        <w:rPr>
          <w:i/>
          <w:iCs/>
          <w:color w:val="595959"/>
          <w:sz w:val="18"/>
          <w:szCs w:val="18"/>
        </w:rPr>
        <w:t xml:space="preserve">Sources: SquareYards/CBRE (India Q3 2026 record investment, capital deployment, foreign investor share).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Data centres accounted for 57% of India's Q3 2026 real estate investment — the largest single category — with installed colocation capacity expected to reach 1.7 GW by the end of 2026.</w:t>
      </w:r>
    </w:p>
    <w:p>
      <w:pPr>
        <w:pStyle w:val="ListParagraph"/>
        <w:numPr>
          <w:ilvl w:val="0"/>
          <w:numId w:val="2"/>
        </w:numPr>
        <w:spacing w:after="80"/>
      </w:pPr>
      <w:r>
        <w:rPr>
          <w:b w:val="false"/>
          <w:bCs w:val="false"/>
        </w:rPr>
        <w:t xml:space="preserve">India's data-centre development pipeline through 2030 has reached 3,860 MW, as capacity expansion accelerates across major markets nationally.</w:t>
      </w:r>
    </w:p>
    <w:p>
      <w:pPr>
        <w:pStyle w:val="ListParagraph"/>
        <w:numPr>
          <w:ilvl w:val="0"/>
          <w:numId w:val="2"/>
        </w:numPr>
        <w:spacing w:after="80"/>
      </w:pPr>
      <w:r>
        <w:rPr>
          <w:b w:val="false"/>
          <w:bCs w:val="false"/>
        </w:rPr>
        <w:t xml:space="preserve">The Digital Personal Data Protection Act and the draft National Data Center Policy are expected to further drive growth and investment in India's data-centre real estate sector.</w:t>
      </w:r>
    </w:p>
    <w:p>
      <w:pPr>
        <w:spacing w:after="150"/>
      </w:pPr>
      <w:r>
        <w:rPr>
          <w:i/>
          <w:iCs/>
          <w:color w:val="595959"/>
          <w:sz w:val="18"/>
          <w:szCs w:val="18"/>
        </w:rPr>
        <w:t xml:space="preserve">Sources: The Hans India/EPC World (data centre investment share, colocation capacity, development pipeline, policy drivers).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view the record $9.5 billion Q3 2026 investment figure, and the sharp rise in foreign capital share, as strong validation of India's real estate sector's institutional appeal.</w:t>
      </w:r>
    </w:p>
    <w:p>
      <w:pPr>
        <w:pStyle w:val="ListParagraph"/>
        <w:numPr>
          <w:ilvl w:val="0"/>
          <w:numId w:val="2"/>
        </w:numPr>
        <w:spacing w:after="80"/>
      </w:pPr>
      <w:r>
        <w:rPr>
          <w:b w:val="false"/>
          <w:bCs w:val="false"/>
        </w:rPr>
        <w:t xml:space="preserve">The dominance of data centres in investment flows is expected to keep CREDAI and NAREDCO focused on ensuring policy frameworks like the draft National Data Center Policy also support traditional residential and commercial asset classes.</w:t>
      </w:r>
    </w:p>
    <w:p>
      <w:pPr>
        <w:pStyle w:val="ListParagraph"/>
        <w:numPr>
          <w:ilvl w:val="0"/>
          <w:numId w:val="2"/>
        </w:numPr>
        <w:spacing w:after="80"/>
      </w:pPr>
      <w:r>
        <w:rPr>
          <w:b w:val="false"/>
          <w:bCs w:val="false"/>
        </w:rPr>
        <w:t xml:space="preserve">Continued strong foreign and institutional capital inflows are likely to reinforce CREDAI and NAREDCO's case for further easing regulatory and approval processes to sustain this record investment momentum nationally.</w:t>
      </w:r>
    </w:p>
    <w:p>
      <w:pPr>
        <w:spacing w:after="150"/>
      </w:pPr>
      <w:r>
        <w:rPr>
          <w:i/>
          <w:iCs/>
          <w:color w:val="595959"/>
          <w:sz w:val="18"/>
          <w:szCs w:val="18"/>
        </w:rPr>
        <w:t xml:space="preserve">Sources: SquareYards/CBRE; The Hans India/EPC World.</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2026-10-03T03:37:51.066Z</dcterms:created>
  <dcterms:modified xsi:type="dcterms:W3CDTF">2026-10-03T03:37:51.073Z</dcterms:modified>
</cp:coreProperties>
</file>

<file path=docProps/custom.xml><?xml version="1.0" encoding="utf-8"?>
<Properties xmlns="http://schemas.openxmlformats.org/officeDocument/2006/custom-properties" xmlns:vt="http://schemas.openxmlformats.org/officeDocument/2006/docPropsVTypes"/>
</file>