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Saturday, 29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Electronic City's average property prices range ₹7,200–7,900 per sq ft, with select corridors delivering 8–12% annual appreciation over the past three years as the Yellow Line metro (operational since August 2025) continues to boost the Hosur Road corridor.</w:t>
      </w:r>
    </w:p>
    <w:p>
      <w:pPr>
        <w:pStyle w:val="ListParagraph"/>
        <w:numPr>
          <w:ilvl w:val="0"/>
          <w:numId w:val="2"/>
        </w:numPr>
        <w:spacing w:after="80"/>
      </w:pPr>
      <w:r>
        <w:rPr>
          <w:b w:val="false"/>
          <w:bCs w:val="false"/>
        </w:rPr>
        <w:t xml:space="preserve">Huskur Road, connecting Electronic City Phase 2, Hebbagodi, Bommasandra industrial estate and Hosur Road, offers relatively affordable pricing at ₹6,000–7,000 per sq ft, positioning it well for IT, manufacturing and logistics professionals.</w:t>
      </w:r>
    </w:p>
    <w:p>
      <w:pPr>
        <w:pStyle w:val="ListParagraph"/>
        <w:numPr>
          <w:ilvl w:val="0"/>
          <w:numId w:val="2"/>
        </w:numPr>
        <w:spacing w:after="80"/>
      </w:pPr>
      <w:r>
        <w:rPr>
          <w:b w:val="false"/>
          <w:bCs w:val="false"/>
        </w:rPr>
        <w:t xml:space="preserve">New project activity continues along the corridor, including Sobha Town Park at Yadavanahalli (possession expected December 2026) and Purva Silversky in Hebbagodi, a low-density, 356-residence development launched in February 2026.</w:t>
      </w:r>
    </w:p>
    <w:p>
      <w:pPr>
        <w:spacing w:after="150"/>
      </w:pPr>
      <w:r>
        <w:rPr>
          <w:i/>
          <w:iCs/>
          <w:color w:val="595959"/>
          <w:sz w:val="18"/>
          <w:szCs w:val="18"/>
        </w:rPr>
        <w:t xml:space="preserve">Sources: Puravankara (Huskur Road, Electronic City pricing); Brigade Group (Electronic City appreciation); TalkingLands/Estate Hive (new project launches, Yellow Line impact).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Huskur Road and Hebbagodi metro stations on the Yellow Line have become a major driver of property appreciation along the Hosur Road corridor since becoming operational in August 2025.</w:t>
      </w:r>
    </w:p>
    <w:p>
      <w:pPr>
        <w:pStyle w:val="ListParagraph"/>
        <w:numPr>
          <w:ilvl w:val="0"/>
          <w:numId w:val="2"/>
        </w:numPr>
        <w:spacing w:after="80"/>
      </w:pPr>
      <w:r>
        <w:rPr>
          <w:b w:val="false"/>
          <w:bCs w:val="false"/>
        </w:rPr>
        <w:t xml:space="preserve">Prestige Southern Star, a 35-acre, 2,130-apartment project launched in March 2025, continues to anchor premium demand in the corridor at ₹12,000–14,000 per sq ft.</w:t>
      </w:r>
    </w:p>
    <w:p>
      <w:pPr>
        <w:pStyle w:val="ListParagraph"/>
        <w:numPr>
          <w:ilvl w:val="0"/>
          <w:numId w:val="2"/>
        </w:numPr>
        <w:spacing w:after="80"/>
      </w:pPr>
      <w:r>
        <w:rPr>
          <w:b w:val="false"/>
          <w:bCs w:val="false"/>
        </w:rPr>
        <w:t xml:space="preserve">The Bengaluru-Hosur Metro extension and the broader Karnataka-Tamil Nadu cross-border link continue to support long-term commercial and industrial growth along the Electronic City-Hosur Road belt.</w:t>
      </w:r>
    </w:p>
    <w:p>
      <w:pPr>
        <w:spacing w:after="150"/>
      </w:pPr>
      <w:r>
        <w:rPr>
          <w:i/>
          <w:iCs/>
          <w:color w:val="595959"/>
          <w:sz w:val="18"/>
          <w:szCs w:val="18"/>
        </w:rPr>
        <w:t xml:space="preserve">Sources: TalkingLands (Yellow Line, Bengaluru-Hosur Metro); Estate Hive (Prestige Southern Star).</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 continues to track the Electronic City-Hosur Road corridor's metro-driven appreciation as a model for how transit infrastructure reshapes value in established IT and industrial belts.</w:t>
      </w:r>
    </w:p>
    <w:p>
      <w:pPr>
        <w:pStyle w:val="ListParagraph"/>
        <w:numPr>
          <w:ilvl w:val="0"/>
          <w:numId w:val="2"/>
        </w:numPr>
        <w:spacing w:after="80"/>
      </w:pPr>
      <w:r>
        <w:rPr>
          <w:b w:val="false"/>
          <w:bCs w:val="false"/>
        </w:rPr>
        <w:t xml:space="preserve">K-RERA continues to operate with a partially reconstituted bench following N Jayaram's appointment as Member, even as the chairman post remains vacant since H.C. Kishore Chandra's retirement.</w:t>
      </w:r>
    </w:p>
    <w:p>
      <w:pPr>
        <w:pStyle w:val="ListParagraph"/>
        <w:numPr>
          <w:ilvl w:val="0"/>
          <w:numId w:val="2"/>
        </w:numPr>
        <w:spacing w:after="80"/>
      </w:pPr>
      <w:r>
        <w:rPr>
          <w:b w:val="false"/>
          <w:bCs w:val="false"/>
        </w:rPr>
        <w:t xml:space="preserve">New low-density launches like Purva Silversky reflect continued developer interest in registering fresh projects along the Hebbagodi-Electronic City belt even as the corridor matures.</w:t>
      </w:r>
    </w:p>
    <w:p>
      <w:pPr>
        <w:spacing w:after="150"/>
      </w:pPr>
      <w:r>
        <w:rPr>
          <w:i/>
          <w:iCs/>
          <w:color w:val="595959"/>
          <w:sz w:val="18"/>
          <w:szCs w:val="18"/>
        </w:rPr>
        <w:t xml:space="preserve">Sources: TalkingLands/Estate Hive; Deccan Herald (K-RERA bench composition).</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CREDAI Hyderabad Property Show 2026, now in its second day at HITEX, has drawn a "resounding success" response from homebuyers, with over 60 developers showcasing more than 300 RERA-approved projects across the city.</w:t>
      </w:r>
    </w:p>
    <w:p>
      <w:pPr>
        <w:pStyle w:val="ListParagraph"/>
        <w:numPr>
          <w:ilvl w:val="0"/>
          <w:numId w:val="2"/>
        </w:numPr>
        <w:spacing w:after="80"/>
      </w:pPr>
      <w:r>
        <w:rPr>
          <w:b w:val="false"/>
          <w:bCs w:val="false"/>
        </w:rPr>
        <w:t xml:space="preserve">The Property Show has already generated sales worth ₹300 crore and a business pipeline worth ₹1,000 crore, reflecting strong underlying confidence in Hyderabad's residential market despite the city's ongoing HYDRAA-Section 22A disruption.</w:t>
      </w:r>
    </w:p>
    <w:p>
      <w:pPr>
        <w:pStyle w:val="ListParagraph"/>
        <w:numPr>
          <w:ilvl w:val="0"/>
          <w:numId w:val="2"/>
        </w:numPr>
        <w:spacing w:after="80"/>
      </w:pPr>
      <w:r>
        <w:rPr>
          <w:b w:val="false"/>
          <w:bCs w:val="false"/>
        </w:rPr>
        <w:t xml:space="preserve">Chennai's housing sales more than doubled to 7,862 units in the July-September period from 3,560 units a year earlier, with Hyderabad and Chennai remaining the only major cities to register growth amid a broader national slowdown.</w:t>
      </w:r>
    </w:p>
    <w:p>
      <w:pPr>
        <w:spacing w:after="150"/>
      </w:pPr>
      <w:r>
        <w:rPr>
          <w:i/>
          <w:iCs/>
          <w:color w:val="595959"/>
          <w:sz w:val="18"/>
          <w:szCs w:val="18"/>
        </w:rPr>
        <w:t xml:space="preserve">Sources: Telangana Today/Deccan Chronicle (Property Show Day 2 response); PassionateInMarketing/APN News (Property Show sales, business pipeline); Business Standard/PropTiger (Chennai, Hyderabad-Chennai growth).</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CREDAI Hyderabad Property Show's ₹1,000 crore business pipeline spans both residential and commercial offerings, underscoring continued institutional and retail buyer engagement at HITEX.</w:t>
      </w:r>
    </w:p>
    <w:p>
      <w:pPr>
        <w:pStyle w:val="ListParagraph"/>
        <w:numPr>
          <w:ilvl w:val="0"/>
          <w:numId w:val="2"/>
        </w:numPr>
        <w:spacing w:after="80"/>
      </w:pPr>
      <w:r>
        <w:rPr>
          <w:b w:val="false"/>
          <w:bCs w:val="false"/>
        </w:rPr>
        <w:t xml:space="preserve">Massive footfalls at the Property Show, with families visiting to discuss properties, prices and locations, signal sustained on-the-ground demand even as the city navigates regulatory disruption from HYDRAA and Section 22A.</w:t>
      </w:r>
    </w:p>
    <w:p>
      <w:pPr>
        <w:pStyle w:val="ListParagraph"/>
        <w:numPr>
          <w:ilvl w:val="0"/>
          <w:numId w:val="2"/>
        </w:numPr>
        <w:spacing w:after="80"/>
      </w:pPr>
      <w:r>
        <w:rPr>
          <w:b w:val="false"/>
          <w:bCs w:val="false"/>
        </w:rPr>
        <w:t xml:space="preserve">Hyderabad's continued outperformance is reinforced by the Property Show's results, offering a real-time commercial counterpoint to concerns about the city's registration slowdown.</w:t>
      </w:r>
    </w:p>
    <w:p>
      <w:pPr>
        <w:spacing w:after="150"/>
      </w:pPr>
      <w:r>
        <w:rPr>
          <w:i/>
          <w:iCs/>
          <w:color w:val="595959"/>
          <w:sz w:val="18"/>
          <w:szCs w:val="18"/>
        </w:rPr>
        <w:t xml:space="preserve">Sources: APN News/Metro India (Property Show footfalls); PassionateInMarketing (business pipeline).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Hyderabad's Property Show 2026, running through 30 August, has become a live case study in how organised, RERA-approved developer showcases can sustain buyer confidence amid regulatory uncertainty.</w:t>
      </w:r>
    </w:p>
    <w:p>
      <w:pPr>
        <w:pStyle w:val="ListParagraph"/>
        <w:numPr>
          <w:ilvl w:val="0"/>
          <w:numId w:val="2"/>
        </w:numPr>
        <w:spacing w:after="80"/>
      </w:pPr>
      <w:r>
        <w:rPr>
          <w:b w:val="false"/>
          <w:bCs w:val="false"/>
        </w:rPr>
        <w:t xml:space="preserve">CREDAI continues to implement the Centre's four-month RERA project-extension advisory for projects with completion deadlines on or after 28 February 2026, with Tamil Nadu and Telangana developers among the direct beneficiaries.</w:t>
      </w:r>
    </w:p>
    <w:p>
      <w:pPr>
        <w:pStyle w:val="ListParagraph"/>
        <w:numPr>
          <w:ilvl w:val="0"/>
          <w:numId w:val="2"/>
        </w:numPr>
        <w:spacing w:after="80"/>
      </w:pPr>
      <w:r>
        <w:rPr>
          <w:b w:val="false"/>
          <w:bCs w:val="false"/>
        </w:rPr>
        <w:t xml:space="preserve">South Indian CREDAI chapters continue to track Karnataka's K-RERA reconstitution and Tamil Nadu's proposed guideline-value revision as parallel regulatory developments shaping the region's compliance landscape.</w:t>
      </w:r>
    </w:p>
    <w:p>
      <w:pPr>
        <w:spacing w:after="150"/>
      </w:pPr>
      <w:r>
        <w:rPr>
          <w:i/>
          <w:iCs/>
          <w:color w:val="595959"/>
          <w:sz w:val="18"/>
          <w:szCs w:val="18"/>
        </w:rPr>
        <w:t xml:space="preserve">Sources: Telangana Today/Deccan Chronicle; Business Standard (MoHUA advisory); Deccan Herald.</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 saw the listing of its first residential mortgage-backed securities (RMBS), with the housing finance regulator expecting firms to raise ₹10,000–20,000 crore through these instruments in the current financial year.</w:t>
      </w:r>
    </w:p>
    <w:p>
      <w:pPr>
        <w:pStyle w:val="ListParagraph"/>
        <w:numPr>
          <w:ilvl w:val="0"/>
          <w:numId w:val="2"/>
        </w:numPr>
        <w:spacing w:after="80"/>
      </w:pPr>
      <w:r>
        <w:rPr>
          <w:b w:val="false"/>
          <w:bCs w:val="false"/>
        </w:rPr>
        <w:t xml:space="preserve">Outstanding housing loans nationally are projected to reach approximately ₹72 trillion by FY30, a 14% CAGR from FY22, financing a projected incremental 23 million housing units.</w:t>
      </w:r>
    </w:p>
    <w:p>
      <w:pPr>
        <w:pStyle w:val="ListParagraph"/>
        <w:numPr>
          <w:ilvl w:val="0"/>
          <w:numId w:val="2"/>
        </w:numPr>
        <w:spacing w:after="80"/>
      </w:pPr>
      <w:r>
        <w:rPr>
          <w:b w:val="false"/>
          <w:bCs w:val="false"/>
        </w:rPr>
        <w:t xml:space="preserve">India's real estate sales volume fell 14% in 2025 — a second consecutive annual decline — even as total sales value rose 6% on strong price appreciation and a continued shift toward luxury residences.</w:t>
      </w:r>
    </w:p>
    <w:p>
      <w:pPr>
        <w:spacing w:after="150"/>
      </w:pPr>
      <w:r>
        <w:rPr>
          <w:i/>
          <w:iCs/>
          <w:color w:val="595959"/>
          <w:sz w:val="18"/>
          <w:szCs w:val="18"/>
        </w:rPr>
        <w:t xml:space="preserve">Sources: Business Standard (first RMBS listing, housing loan projections); Whalesbook (2025 sales volume/value divergence).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Commercial real estate attracted a record $10.4 billion in institutional investment in 2025, with multi-city deals expected to account for 30–40% of total institutional inflows in 2026 as investors diversify geographically.</w:t>
      </w:r>
    </w:p>
    <w:p>
      <w:pPr>
        <w:pStyle w:val="ListParagraph"/>
        <w:numPr>
          <w:ilvl w:val="0"/>
          <w:numId w:val="2"/>
        </w:numPr>
        <w:spacing w:after="80"/>
      </w:pPr>
      <w:r>
        <w:rPr>
          <w:b w:val="false"/>
          <w:bCs w:val="false"/>
        </w:rPr>
        <w:t xml:space="preserve">CREDAI Hyderabad's Property Show 2026 (₹300 crore in sales, ₹1,000 crore pipeline) illustrates the kind of organised developer activity increasingly needed to sustain buyer confidence nationally amid a maturing sales cycle.</w:t>
      </w:r>
    </w:p>
    <w:p>
      <w:pPr>
        <w:pStyle w:val="ListParagraph"/>
        <w:numPr>
          <w:ilvl w:val="0"/>
          <w:numId w:val="2"/>
        </w:numPr>
        <w:spacing w:after="80"/>
      </w:pPr>
      <w:r>
        <w:rPr>
          <w:b w:val="false"/>
          <w:bCs w:val="false"/>
        </w:rPr>
        <w:t xml:space="preserve">Developers are pinning hopes on 2026 for a broader demand revival, citing lower mortgage rates, sustained GDP growth and potential Union Budget tax relief as key catalysts.</w:t>
      </w:r>
    </w:p>
    <w:p>
      <w:pPr>
        <w:spacing w:after="150"/>
      </w:pPr>
      <w:r>
        <w:rPr>
          <w:i/>
          <w:iCs/>
          <w:color w:val="595959"/>
          <w:sz w:val="18"/>
          <w:szCs w:val="18"/>
        </w:rPr>
        <w:t xml:space="preserve">Sources: Colliers/Whalesbook (institutional investment, multi-city deal share); PassionateInMarketing; Business Standard.</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at the state level nationally.</w:t>
      </w:r>
    </w:p>
    <w:p>
      <w:pPr>
        <w:pStyle w:val="ListParagraph"/>
        <w:numPr>
          <w:ilvl w:val="0"/>
          <w:numId w:val="2"/>
        </w:numPr>
        <w:spacing w:after="80"/>
      </w:pPr>
      <w:r>
        <w:rPr>
          <w:b w:val="false"/>
          <w:bCs w:val="false"/>
        </w:rPr>
        <w:t xml:space="preserve">India's first RMBS listing marks a structural milestone for housing finance nationally, potentially easing funding constraints for lenders even as entry-level and mid-income housing segments continue to struggle under high land costs.</w:t>
      </w:r>
    </w:p>
    <w:p>
      <w:pPr>
        <w:pStyle w:val="ListParagraph"/>
        <w:numPr>
          <w:ilvl w:val="0"/>
          <w:numId w:val="2"/>
        </w:numPr>
        <w:spacing w:after="80"/>
      </w:pPr>
      <w:r>
        <w:rPr>
          <w:b w:val="false"/>
          <w:bCs w:val="false"/>
        </w:rPr>
        <w:t xml:space="preserve">CREDAI Hyderabad's strong Property Show results (₹300 crore sales, ₹1,000 crore pipeline) offer a timely national counterpoint to concerns about slowing housing sales volumes and persistent affordability pressures.</w:t>
      </w:r>
    </w:p>
    <w:p>
      <w:pPr>
        <w:spacing w:after="150"/>
      </w:pPr>
      <w:r>
        <w:rPr>
          <w:i/>
          <w:iCs/>
          <w:color w:val="595959"/>
          <w:sz w:val="18"/>
          <w:szCs w:val="18"/>
        </w:rPr>
        <w:t xml:space="preserve">Sources: Business Standard; PassionateInMarketing/Telangana Today; Whalesbook.</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2026-08-29T03:42:23.105Z</dcterms:created>
  <dcterms:modified xsi:type="dcterms:W3CDTF">2026-08-29T03:42:23.118Z</dcterms:modified>
</cp:coreProperties>
</file>

<file path=docProps/custom.xml><?xml version="1.0" encoding="utf-8"?>
<Properties xmlns="http://schemas.openxmlformats.org/officeDocument/2006/custom-properties" xmlns:vt="http://schemas.openxmlformats.org/officeDocument/2006/docPropsVTypes"/>
</file>