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Monday, 10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 recorded a 47% YoY rise in Q2 2026 housing sales to 21,516 units, with supply surging 71% to 24,340 units — reaffirming its position as India's largest and fastest-growing housing market by both sales and supply.</w:t>
      </w:r>
    </w:p>
    <w:p>
      <w:pPr>
        <w:pStyle w:val="ListParagraph"/>
        <w:numPr>
          <w:ilvl w:val="0"/>
          <w:numId w:val="2"/>
        </w:numPr>
        <w:spacing w:after="80"/>
      </w:pPr>
      <w:r>
        <w:rPr>
          <w:b w:val="false"/>
          <w:bCs w:val="false"/>
        </w:rPr>
        <w:t xml:space="preserve">Bengaluru posted nearly 24% annual price appreciation in 2026, the fastest among India's major cities, driven by its IT sector, Global Capability Centres, startup ecosystem and strong demand from high-income professionals.</w:t>
      </w:r>
    </w:p>
    <w:p>
      <w:pPr>
        <w:pStyle w:val="ListParagraph"/>
        <w:numPr>
          <w:ilvl w:val="0"/>
          <w:numId w:val="2"/>
        </w:numPr>
        <w:spacing w:after="80"/>
      </w:pPr>
      <w:r>
        <w:rPr>
          <w:b w:val="false"/>
          <w:bCs w:val="false"/>
        </w:rPr>
        <w:t xml:space="preserve">The city added 12,544 new residential launches in Q2 2026 (a moderate 4% YoY rise), with the South submarket leading at a 38% share on strong activity across Electronic City, Bannerghatta Road and Kanakapura Road.</w:t>
      </w:r>
    </w:p>
    <w:p>
      <w:pPr>
        <w:spacing w:after="150"/>
      </w:pPr>
      <w:r>
        <w:rPr>
          <w:i/>
          <w:iCs/>
          <w:color w:val="595959"/>
          <w:sz w:val="18"/>
          <w:szCs w:val="18"/>
        </w:rPr>
        <w:t xml:space="preserve">Sources: BusinessToday (Q2 2026 top-9 cities report); Griha Realty (price-appreciation ranking); Cushman &amp; Wakefield Bengaluru MarketBeat.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office market posted 3.5 million sq ft of net absorption in Q2 2026 on fresh leasing and pre-commitments, alongside a record Grade A supply of 5.8 million sq ft.</w:t>
      </w:r>
    </w:p>
    <w:p>
      <w:pPr>
        <w:pStyle w:val="ListParagraph"/>
        <w:numPr>
          <w:ilvl w:val="0"/>
          <w:numId w:val="2"/>
        </w:numPr>
        <w:spacing w:after="80"/>
      </w:pPr>
      <w:r>
        <w:rPr>
          <w:b w:val="false"/>
          <w:bCs w:val="false"/>
        </w:rPr>
        <w:t xml:space="preserve">HSBC's pre-lease of approximately 1.2 million sq ft with Prestige Group on the Outer Ring Road continues to headline the city's commercial leasing activity this year.</w:t>
      </w:r>
    </w:p>
    <w:p>
      <w:pPr>
        <w:pStyle w:val="ListParagraph"/>
        <w:numPr>
          <w:ilvl w:val="0"/>
          <w:numId w:val="2"/>
        </w:numPr>
        <w:spacing w:after="80"/>
      </w:pPr>
      <w:r>
        <w:rPr>
          <w:b w:val="false"/>
          <w:bCs w:val="false"/>
        </w:rPr>
        <w:t xml:space="preserve">Occupiers are increasingly prioritising long-term stability and sustainability, with green-building certifications now a key benchmark shaping leasing decisions across BFSI, technology and GCC tenants.</w:t>
      </w:r>
    </w:p>
    <w:p>
      <w:pPr>
        <w:spacing w:after="150"/>
      </w:pPr>
      <w:r>
        <w:rPr>
          <w:i/>
          <w:iCs/>
          <w:color w:val="595959"/>
          <w:sz w:val="18"/>
          <w:szCs w:val="18"/>
        </w:rPr>
        <w:t xml:space="preserve">Sources: Cushman &amp; Wakefield Bengaluru MarketBeat; BangaloreProperties blog (HSBC–Prestige lease); Cityinfo Services.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Bengaluru estimates a 60% drop in property registrations and a ₹8,000 crore revenue shortfall for the city's developers since October, attributing the slump to continued e-Khata processing delays.</w:t>
      </w:r>
    </w:p>
    <w:p>
      <w:pPr>
        <w:pStyle w:val="ListParagraph"/>
        <w:numPr>
          <w:ilvl w:val="0"/>
          <w:numId w:val="2"/>
        </w:numPr>
        <w:spacing w:after="80"/>
      </w:pPr>
      <w:r>
        <w:rPr>
          <w:b w:val="false"/>
          <w:bCs w:val="false"/>
        </w:rPr>
        <w:t xml:space="preserve">BBMP has issued 3.21 lakh e-Khatas so far, with the Bommanahalli zone disposing the highest volume at over 50,000 properties, as the civic body rolls out an Aadhaar-linked automatic e-Khata mutation system to cut delays.</w:t>
      </w:r>
    </w:p>
    <w:p>
      <w:pPr>
        <w:pStyle w:val="ListParagraph"/>
        <w:numPr>
          <w:ilvl w:val="0"/>
          <w:numId w:val="2"/>
        </w:numPr>
        <w:spacing w:after="80"/>
      </w:pPr>
      <w:r>
        <w:rPr>
          <w:b w:val="false"/>
          <w:bCs w:val="false"/>
        </w:rPr>
        <w:t xml:space="preserve">CREDAI Bengaluru continues to press Karnataka's Revenue Minister and BBMP's Special Commissioner for a faster resolution, warning that NRIs and mortgage-seeking buyers remain unable to complete transactions pending e-Khata issuance.</w:t>
      </w:r>
    </w:p>
    <w:p>
      <w:pPr>
        <w:spacing w:after="150"/>
      </w:pPr>
      <w:r>
        <w:rPr>
          <w:i/>
          <w:iCs/>
          <w:color w:val="595959"/>
          <w:sz w:val="18"/>
          <w:szCs w:val="18"/>
        </w:rPr>
        <w:t xml:space="preserve">Sources: Construction World (CREDAI Bengaluru e-Khata memorandum); Deccan Herald (BBMP e-Khata disposal, Aadhaar-linked mutation).</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Hyderabad's residential market enters H2 2026 on a resilient footing, with core pricing remaining firm and well-located, well-connected projects continuing to command a premium even as the broader market stays calm and steady.</w:t>
      </w:r>
    </w:p>
    <w:p>
      <w:pPr>
        <w:pStyle w:val="ListParagraph"/>
        <w:numPr>
          <w:ilvl w:val="0"/>
          <w:numId w:val="2"/>
        </w:numPr>
        <w:spacing w:after="80"/>
      </w:pPr>
      <w:r>
        <w:rPr>
          <w:b w:val="false"/>
          <w:bCs w:val="false"/>
        </w:rPr>
        <w:t xml:space="preserve">Chennai's real estate market is forecast to grow at a stable pace through 2026, supported by IT-sector growth and infrastructure upgrades, with Tambaram emerging as one of the city's fastest-growing residential and investment corridors.</w:t>
      </w:r>
    </w:p>
    <w:p>
      <w:pPr>
        <w:pStyle w:val="ListParagraph"/>
        <w:numPr>
          <w:ilvl w:val="0"/>
          <w:numId w:val="2"/>
        </w:numPr>
        <w:spacing w:after="80"/>
      </w:pPr>
      <w:r>
        <w:rPr>
          <w:b w:val="false"/>
          <w:bCs w:val="false"/>
        </w:rPr>
        <w:t xml:space="preserve">Telangana has amended its building rules to allow additional floors, setback relaxations and expanded Transferable Development Rights (TDR) usage — a move expected to boost residential supply and redevelopment activity in Hyderabad.</w:t>
      </w:r>
    </w:p>
    <w:p>
      <w:pPr>
        <w:spacing w:after="150"/>
      </w:pPr>
      <w:r>
        <w:rPr>
          <w:i/>
          <w:iCs/>
          <w:color w:val="595959"/>
          <w:sz w:val="18"/>
          <w:szCs w:val="18"/>
        </w:rPr>
        <w:t xml:space="preserve">Sources: TeluguTimes (Hyderabad outlook); ValueRealitty (Chennai market trends); Charan Group Updates (Telangana building-rule amendments).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HMDA is preparing a major land auction across 42 acres in Hyderabad's Moosapet, Banjara Hills and Kondapur, with the online auction expected to generate over ₹5,000 crore in revenue.</w:t>
      </w:r>
    </w:p>
    <w:p>
      <w:pPr>
        <w:pStyle w:val="ListParagraph"/>
        <w:numPr>
          <w:ilvl w:val="0"/>
          <w:numId w:val="2"/>
        </w:numPr>
        <w:spacing w:after="80"/>
      </w:pPr>
      <w:r>
        <w:rPr>
          <w:b w:val="false"/>
          <w:bCs w:val="false"/>
        </w:rPr>
        <w:t xml:space="preserve">The Centre has taken up development of the southern stretch of Hyderabad's Regional Ring Road, a move expected to unlock new commercial and residential growth corridors around the city's periphery.</w:t>
      </w:r>
    </w:p>
    <w:p>
      <w:pPr>
        <w:pStyle w:val="ListParagraph"/>
        <w:numPr>
          <w:ilvl w:val="0"/>
          <w:numId w:val="2"/>
        </w:numPr>
        <w:spacing w:after="80"/>
      </w:pPr>
      <w:r>
        <w:rPr>
          <w:b w:val="false"/>
          <w:bCs w:val="false"/>
        </w:rPr>
        <w:t xml:space="preserve">Telangana's relaxed building norms — additional floors and expanded TDR usage — are also expected to benefit commercial and mixed-use developments in the city's key micro-markets.</w:t>
      </w:r>
    </w:p>
    <w:p>
      <w:pPr>
        <w:spacing w:after="150"/>
      </w:pPr>
      <w:r>
        <w:rPr>
          <w:i/>
          <w:iCs/>
          <w:color w:val="595959"/>
          <w:sz w:val="18"/>
          <w:szCs w:val="18"/>
        </w:rPr>
        <w:t xml:space="preserve">Sources: Charan Group Updates (HMDA land auction, building-rule amendments); Prestige Golden Grove (Hyderabad update).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and NAREDCO continue to implement the Centre's four-month RERA project-extension advisory (for deadlines on or after 28 February 2026), with Tamil Nadu and Telangana developers among the direct beneficiaries as they navigate West Asia conflict-linked material shortages.</w:t>
      </w:r>
    </w:p>
    <w:p>
      <w:pPr>
        <w:pStyle w:val="ListParagraph"/>
        <w:numPr>
          <w:ilvl w:val="0"/>
          <w:numId w:val="2"/>
        </w:numPr>
        <w:spacing w:after="80"/>
      </w:pPr>
      <w:r>
        <w:rPr>
          <w:b w:val="false"/>
          <w:bCs w:val="false"/>
        </w:rPr>
        <w:t xml:space="preserve">CREDAI national president Shekhar Patel has called the extension advisory "a positive step taken in line with the sector's demand," a stance echoed by South Indian chapter leadership.</w:t>
      </w:r>
    </w:p>
    <w:p>
      <w:pPr>
        <w:pStyle w:val="ListParagraph"/>
        <w:numPr>
          <w:ilvl w:val="0"/>
          <w:numId w:val="2"/>
        </w:numPr>
        <w:spacing w:after="80"/>
      </w:pPr>
      <w:r>
        <w:rPr>
          <w:b w:val="false"/>
          <w:bCs w:val="false"/>
        </w:rPr>
        <w:t xml:space="preserve">South Indian RERAs continue to monitor Karnataka's e-Khata-driven registration slowdown as a cautionary example while advancing their own project-registration and compliance processes.</w:t>
      </w:r>
    </w:p>
    <w:p>
      <w:pPr>
        <w:spacing w:after="150"/>
      </w:pPr>
      <w:r>
        <w:rPr>
          <w:i/>
          <w:iCs/>
          <w:color w:val="595959"/>
          <w:sz w:val="18"/>
          <w:szCs w:val="18"/>
        </w:rPr>
        <w:t xml:space="preserve">Sources: Business Standard (MoHUA advisory, CREDAI response); PropNewsTime (CREDAI–NAREDCO welcome).</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Housing sales across India's top nine cities rose 19% YoY to 112,458 units in Q2 2026, while new supply jumped 43% YoY to 117,609 units, led by an outsized growth push from Southern cities.</w:t>
      </w:r>
    </w:p>
    <w:p>
      <w:pPr>
        <w:pStyle w:val="ListParagraph"/>
        <w:numPr>
          <w:ilvl w:val="0"/>
          <w:numId w:val="2"/>
        </w:numPr>
        <w:spacing w:after="80"/>
      </w:pPr>
      <w:r>
        <w:rPr>
          <w:b w:val="false"/>
          <w:bCs w:val="false"/>
        </w:rPr>
        <w:t xml:space="preserve">Bengaluru was the standout performer nationally, with sales up 47% YoY to 21,516 units and supply up 71% YoY to 24,340 units, retaining its position as India's largest housing market by both metrics; Hyderabad supply rose 75% YoY to 18,407 units.</w:t>
      </w:r>
    </w:p>
    <w:p>
      <w:pPr>
        <w:pStyle w:val="ListParagraph"/>
        <w:numPr>
          <w:ilvl w:val="0"/>
          <w:numId w:val="2"/>
        </w:numPr>
        <w:spacing w:after="80"/>
      </w:pPr>
      <w:r>
        <w:rPr>
          <w:b w:val="false"/>
          <w:bCs w:val="false"/>
        </w:rPr>
        <w:t xml:space="preserve">Residential rents across India's urban markets are projected to grow 7–10% in 2026 — comfortably ahead of inflation — per a Reuters poll of housing experts, with employment-led cities like Bengaluru expected to be the strongest beneficiaries.</w:t>
      </w:r>
    </w:p>
    <w:p>
      <w:pPr>
        <w:spacing w:after="150"/>
      </w:pPr>
      <w:r>
        <w:rPr>
          <w:i/>
          <w:iCs/>
          <w:color w:val="595959"/>
          <w:sz w:val="18"/>
          <w:szCs w:val="18"/>
        </w:rPr>
        <w:t xml:space="preserve">Sources: BusinessToday (Q2 2026 top-9 cities report); Reuters poll via Proppy AI (rental growth).</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HMDA's ₹5,000 crore, 42-acre Hyderabad land auction and Bengaluru's continued Grade A office momentum (5.8 million sq ft record Q2 supply) together illustrate sustained institutional confidence in India's commercial real estate pipeline.</w:t>
      </w:r>
    </w:p>
    <w:p>
      <w:pPr>
        <w:pStyle w:val="ListParagraph"/>
        <w:numPr>
          <w:ilvl w:val="0"/>
          <w:numId w:val="2"/>
        </w:numPr>
        <w:spacing w:after="80"/>
      </w:pPr>
      <w:r>
        <w:rPr>
          <w:b w:val="false"/>
          <w:bCs w:val="false"/>
        </w:rPr>
        <w:t xml:space="preserve">Telangana's building-rule liberalisation — additional floors, setback relaxations, expanded TDR usage — reflects a broader national trend of states easing regulatory constraints to unlock commercial and residential redevelopment.</w:t>
      </w:r>
    </w:p>
    <w:p>
      <w:pPr>
        <w:pStyle w:val="ListParagraph"/>
        <w:numPr>
          <w:ilvl w:val="0"/>
          <w:numId w:val="2"/>
        </w:numPr>
        <w:spacing w:after="80"/>
      </w:pPr>
      <w:r>
        <w:rPr>
          <w:b w:val="false"/>
          <w:bCs w:val="false"/>
        </w:rPr>
        <w:t xml:space="preserve">Green-building certifications and long-term occupier stability are emerging as national leasing priorities, a trend first visible in Bengaluru's BFSI- and GCC-led office market and increasingly mirrored across other metros.</w:t>
      </w:r>
    </w:p>
    <w:p>
      <w:pPr>
        <w:spacing w:after="150"/>
      </w:pPr>
      <w:r>
        <w:rPr>
          <w:i/>
          <w:iCs/>
          <w:color w:val="595959"/>
          <w:sz w:val="18"/>
          <w:szCs w:val="18"/>
        </w:rPr>
        <w:t xml:space="preserve">Sources: Charan Group Updates (HMDA auction, Telangana building rules); Cushman &amp; Wakefield Bengaluru MarketBeat; Cityinfo Services.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invoking Force Majeure provisions for West Asia conflict-linked delays, continues to be implemented nationally for projects with completion deadlines on or after 28 February 2026.</w:t>
      </w:r>
    </w:p>
    <w:p>
      <w:pPr>
        <w:pStyle w:val="ListParagraph"/>
        <w:numPr>
          <w:ilvl w:val="0"/>
          <w:numId w:val="2"/>
        </w:numPr>
        <w:spacing w:after="80"/>
      </w:pPr>
      <w:r>
        <w:rPr>
          <w:b w:val="false"/>
          <w:bCs w:val="false"/>
        </w:rPr>
        <w:t xml:space="preserve">CREDAI national president Shekhar Patel welcomed the advisory as "a positive step taken in line with the sector's demand," with CREDAI and NAREDCO's joint endorsement continuing to shape the sector's national policy conversation this month.</w:t>
      </w:r>
    </w:p>
    <w:p>
      <w:pPr>
        <w:pStyle w:val="ListParagraph"/>
        <w:numPr>
          <w:ilvl w:val="0"/>
          <w:numId w:val="2"/>
        </w:numPr>
        <w:spacing w:after="80"/>
      </w:pPr>
      <w:r>
        <w:rPr>
          <w:b w:val="false"/>
          <w:bCs w:val="false"/>
        </w:rPr>
        <w:t xml:space="preserve">CREDAI Bengaluru's ₹8,000 crore e-Khata-linked revenue-shortfall estimate is emerging as a national case study in how state-level digital land-record transitions can disrupt registration volumes if not phased carefully.</w:t>
      </w:r>
    </w:p>
    <w:p>
      <w:pPr>
        <w:spacing w:after="150"/>
      </w:pPr>
      <w:r>
        <w:rPr>
          <w:i/>
          <w:iCs/>
          <w:color w:val="595959"/>
          <w:sz w:val="18"/>
          <w:szCs w:val="18"/>
        </w:rPr>
        <w:t xml:space="preserve">Sources: Business Standard (MoHUA advisory); Outlook Money (CREDAI RERA extension push); Construction World (CREDAI Bengaluru e-Khata impact).</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2026-08-10T03:40:45.137Z</dcterms:created>
  <dcterms:modified xsi:type="dcterms:W3CDTF">2026-08-10T03:40:45.149Z</dcterms:modified>
</cp:coreProperties>
</file>

<file path=docProps/custom.xml><?xml version="1.0" encoding="utf-8"?>
<Properties xmlns="http://schemas.openxmlformats.org/officeDocument/2006/custom-properties" xmlns:vt="http://schemas.openxmlformats.org/officeDocument/2006/docPropsVTypes"/>
</file>