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27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Koramangala land prices range ₹17,900-35,000 per sq ft, while Indiranagar apartments command ₹14,000-25,000 per sq ft, with both localities among Bengaluru's highest rental-yield markets due to persistently limited inventory.</w:t>
      </w:r>
    </w:p>
    <w:p>
      <w:pPr>
        <w:pStyle w:val="ListParagraph"/>
        <w:numPr>
          <w:ilvl w:val="0"/>
          <w:numId w:val="2"/>
        </w:numPr>
        <w:spacing w:after="80"/>
      </w:pPr>
      <w:r>
        <w:rPr>
          <w:b w:val="false"/>
          <w:bCs w:val="false"/>
        </w:rPr>
        <w:t xml:space="preserve">Marathahalli, positioned as a CBD-adjacent tech-office catchment, continues to price below Koramangala and Indiranagar, offering relatively more affordable entry points for buyers seeking Outer Ring Road connectivity.</w:t>
      </w:r>
    </w:p>
    <w:p>
      <w:pPr>
        <w:pStyle w:val="ListParagraph"/>
        <w:numPr>
          <w:ilvl w:val="0"/>
          <w:numId w:val="2"/>
        </w:numPr>
        <w:spacing w:after="80"/>
      </w:pPr>
      <w:r>
        <w:rPr>
          <w:b w:val="false"/>
          <w:bCs w:val="false"/>
        </w:rPr>
        <w:t xml:space="preserve">Continued premiumisation across Koramangala, Indiranagar and HSR Layout is reinforcing these corridors' status as Bengaluru's core mid-to-luxury rental strongholds.</w:t>
      </w:r>
    </w:p>
    <w:p>
      <w:pPr>
        <w:spacing w:after="150"/>
      </w:pPr>
      <w:r>
        <w:rPr>
          <w:i/>
          <w:iCs/>
          <w:color w:val="595959"/>
          <w:sz w:val="18"/>
          <w:szCs w:val="18"/>
        </w:rPr>
        <w:t xml:space="preserve">Sources: NoBroker (Koramangala/Indiranagar pricing); Sobha/Money Matrix Hub (Marathahalli positioning, rental-yield trends).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BMRCL has begun preparatory works for Bengaluru Metro Phase 3, floating tenders to demolish buildings along the 44.65 km, 31-station, two-corridor alignment connecting JP Nagar 4th Phase to Kempapura and Hosahalli to Kadabagere.</w:t>
      </w:r>
    </w:p>
    <w:p>
      <w:pPr>
        <w:pStyle w:val="ListParagraph"/>
        <w:numPr>
          <w:ilvl w:val="0"/>
          <w:numId w:val="2"/>
        </w:numPr>
        <w:spacing w:after="80"/>
      </w:pPr>
      <w:r>
        <w:rPr>
          <w:b w:val="false"/>
          <w:bCs w:val="false"/>
        </w:rPr>
        <w:t xml:space="preserve">Phase 3's Outer Ring Road West corridor (32.15 km, 22 stations) is expected to significantly improve connectivity for commercial and office corridors along the western ORR stretch once operational.</w:t>
      </w:r>
    </w:p>
    <w:p>
      <w:pPr>
        <w:pStyle w:val="ListParagraph"/>
        <w:numPr>
          <w:ilvl w:val="0"/>
          <w:numId w:val="2"/>
        </w:numPr>
        <w:spacing w:after="80"/>
      </w:pPr>
      <w:r>
        <w:rPr>
          <w:b w:val="false"/>
          <w:bCs w:val="false"/>
        </w:rPr>
        <w:t xml:space="preserve">Marathahalli's continued positioning as a CBD tech-office hub is being reinforced by its proximity to both the existing metro network and Phase 3's upcoming ORR West corridor.</w:t>
      </w:r>
    </w:p>
    <w:p>
      <w:pPr>
        <w:spacing w:after="150"/>
      </w:pPr>
      <w:r>
        <w:rPr>
          <w:i/>
          <w:iCs/>
          <w:color w:val="595959"/>
          <w:sz w:val="18"/>
          <w:szCs w:val="18"/>
        </w:rPr>
        <w:t xml:space="preserve">Sources: Deccan Herald (Metro Phase 3 preparatory works, corridor details); PIB (Cabinet approval of Phase 3 corridors).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ordered a Bengaluru-based builder on 4 September 2026 to pay ₹10 lakh in compensation to four homebuyers after several advertised amenities at a Jala Hobli project were found incomplete or never constructed.</w:t>
      </w:r>
    </w:p>
    <w:p>
      <w:pPr>
        <w:pStyle w:val="ListParagraph"/>
        <w:numPr>
          <w:ilvl w:val="0"/>
          <w:numId w:val="2"/>
        </w:numPr>
        <w:spacing w:after="80"/>
      </w:pPr>
      <w:r>
        <w:rPr>
          <w:b w:val="false"/>
          <w:bCs w:val="false"/>
        </w:rPr>
        <w:t xml:space="preserve">K-RERA's continued enforcement stance — including its earlier ruling that builders remain responsible for promised amenities even after possession handover — reinforces buyer-protection discipline across Bengaluru's project pipeline.</w:t>
      </w:r>
    </w:p>
    <w:p>
      <w:pPr>
        <w:pStyle w:val="ListParagraph"/>
        <w:numPr>
          <w:ilvl w:val="0"/>
          <w:numId w:val="2"/>
        </w:numPr>
        <w:spacing w:after="80"/>
      </w:pPr>
      <w:r>
        <w:rPr>
          <w:b w:val="false"/>
          <w:bCs w:val="false"/>
        </w:rPr>
        <w:t xml:space="preserve">CREDAI Karnataka is likely tracking K-RERA's rising volume of amenity-completion and compensation orders as a signal to tighten pre-launch amenity disclosure standards industry-wide.</w:t>
      </w:r>
    </w:p>
    <w:p>
      <w:pPr>
        <w:spacing w:after="150"/>
      </w:pPr>
      <w:r>
        <w:rPr>
          <w:i/>
          <w:iCs/>
          <w:color w:val="595959"/>
          <w:sz w:val="18"/>
          <w:szCs w:val="18"/>
        </w:rPr>
        <w:t xml:space="preserve">Sources: H4ENews (K-RERA Jala Hobli compensation order, 4 September 2026); MyPunePulse/HomeFirstIndia (K-RERA amenity-completion enforcement).</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Andhra Pradesh waived stamp duty on 4,950 acres for BARC's Anakapalli campus on 7 September 2026, a large-scale land transaction that could catalyse fresh residential and ancillary development around the site.</w:t>
      </w:r>
    </w:p>
    <w:p>
      <w:pPr>
        <w:pStyle w:val="ListParagraph"/>
        <w:numPr>
          <w:ilvl w:val="0"/>
          <w:numId w:val="2"/>
        </w:numPr>
        <w:spacing w:after="80"/>
      </w:pPr>
      <w:r>
        <w:rPr>
          <w:b w:val="false"/>
          <w:bCs w:val="false"/>
        </w:rPr>
        <w:t xml:space="preserve">Telangana opened a registration route on 25 September 2026 for properties covered under Section 22-A that hold valid layout, building or apartment approvals from GHMC, HMDA, DTCP or municipal bodies, unlocking previously prohibited-list homes, flats and plots for sale.</w:t>
      </w:r>
    </w:p>
    <w:p>
      <w:pPr>
        <w:pStyle w:val="ListParagraph"/>
        <w:numPr>
          <w:ilvl w:val="0"/>
          <w:numId w:val="2"/>
        </w:numPr>
        <w:spacing w:after="80"/>
      </w:pPr>
      <w:r>
        <w:rPr>
          <w:b w:val="false"/>
          <w:bCs w:val="false"/>
        </w:rPr>
        <w:t xml:space="preserve">This Section 22-A reform is expected to bring a meaningful volume of previously unsellable, statutorily-approved Hyderabad-area properties back into the active resale and registration market.</w:t>
      </w:r>
    </w:p>
    <w:p>
      <w:pPr>
        <w:spacing w:after="150"/>
      </w:pPr>
      <w:r>
        <w:rPr>
          <w:i/>
          <w:iCs/>
          <w:color w:val="595959"/>
          <w:sz w:val="18"/>
          <w:szCs w:val="18"/>
        </w:rPr>
        <w:t xml:space="preserve">Sources: Wikipedia (BARC Anakapalli stamp-duty waiver); Grihik (Telangana Section 22-A registration route, 25 September 2026).</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BARC's 4,950-acre Anakapalli campus, now stamp-duty exempt, signals continued Andhra Pradesh government support for large strategic/institutional land allocations that typically catalyse surrounding commercial and infrastructure development.</w:t>
      </w:r>
    </w:p>
    <w:p>
      <w:pPr>
        <w:pStyle w:val="ListParagraph"/>
        <w:numPr>
          <w:ilvl w:val="0"/>
          <w:numId w:val="2"/>
        </w:numPr>
        <w:spacing w:after="80"/>
      </w:pPr>
      <w:r>
        <w:rPr>
          <w:b w:val="false"/>
          <w:bCs w:val="false"/>
        </w:rPr>
        <w:t xml:space="preserve">Telangana's Section 22-A registration route is expected to particularly benefit commercial and mixed-use properties in Hyderabad's periphery that previously lacked a clear registration pathway despite holding valid approvals.</w:t>
      </w:r>
    </w:p>
    <w:p>
      <w:pPr>
        <w:pStyle w:val="ListParagraph"/>
        <w:numPr>
          <w:ilvl w:val="0"/>
          <w:numId w:val="2"/>
        </w:numPr>
        <w:spacing w:after="80"/>
      </w:pPr>
      <w:r>
        <w:rPr>
          <w:b w:val="false"/>
          <w:bCs w:val="false"/>
        </w:rPr>
        <w:t xml:space="preserve">Continued state-level registration and stamp-duty reforms across Andhra Pradesh and Telangana reflect a broader South India push to unlock stalled land and property inventory for productive use.</w:t>
      </w:r>
    </w:p>
    <w:p>
      <w:pPr>
        <w:spacing w:after="150"/>
      </w:pPr>
      <w:r>
        <w:rPr>
          <w:i/>
          <w:iCs/>
          <w:color w:val="595959"/>
          <w:sz w:val="18"/>
          <w:szCs w:val="18"/>
        </w:rPr>
        <w:t xml:space="preserve">Sources: Wikipedia; Grihik.</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Andhra Pradesh is likely to welcome the BARC Anakapalli stamp-duty waiver as a positive signal for large institutional land allocations in the state.</w:t>
      </w:r>
    </w:p>
    <w:p>
      <w:pPr>
        <w:pStyle w:val="ListParagraph"/>
        <w:numPr>
          <w:ilvl w:val="0"/>
          <w:numId w:val="2"/>
        </w:numPr>
        <w:spacing w:after="80"/>
      </w:pPr>
      <w:r>
        <w:rPr>
          <w:b w:val="false"/>
          <w:bCs w:val="false"/>
        </w:rPr>
        <w:t xml:space="preserve">CREDAI Telangana and TG-RERA are expected to closely monitor the rollout of the Section 22-A registration route, given its potential to unlock a significant backlog of previously prohibited-list properties.</w:t>
      </w:r>
    </w:p>
    <w:p>
      <w:pPr>
        <w:pStyle w:val="ListParagraph"/>
        <w:numPr>
          <w:ilvl w:val="0"/>
          <w:numId w:val="2"/>
        </w:numPr>
        <w:spacing w:after="80"/>
      </w:pPr>
      <w:r>
        <w:rPr>
          <w:b w:val="false"/>
          <w:bCs w:val="false"/>
        </w:rPr>
        <w:t xml:space="preserve">Continued regulatory easing across both states reinforces South India's broader trend toward clearing registration bottlenecks for statutorily-approved but previously unsellable properties.</w:t>
      </w:r>
    </w:p>
    <w:p>
      <w:pPr>
        <w:spacing w:after="150"/>
      </w:pPr>
      <w:r>
        <w:rPr>
          <w:i/>
          <w:iCs/>
          <w:color w:val="595959"/>
          <w:sz w:val="18"/>
          <w:szCs w:val="18"/>
        </w:rPr>
        <w:t xml:space="preserve">Sources: Wikipedia; Grihik.</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Nifty Realty index closed at 869.35 on 25 September 2026, up 0.92% for the day, though still down 4% over the past month and 1% over the past year — underperforming a broader market with sharper corrections.</w:t>
      </w:r>
    </w:p>
    <w:p>
      <w:pPr>
        <w:pStyle w:val="ListParagraph"/>
        <w:numPr>
          <w:ilvl w:val="0"/>
          <w:numId w:val="2"/>
        </w:numPr>
        <w:spacing w:after="80"/>
      </w:pPr>
      <w:r>
        <w:rPr>
          <w:b w:val="false"/>
          <w:bCs w:val="false"/>
        </w:rPr>
        <w:t xml:space="preserve">Within the index, DLF gained 1.88%, Godrej Properties rose 1.73% and Aditya Birla Real Estate climbed 1.58%, reflecting broad-based residential-developer stock gains during the latest session.</w:t>
      </w:r>
    </w:p>
    <w:p>
      <w:pPr>
        <w:pStyle w:val="ListParagraph"/>
        <w:numPr>
          <w:ilvl w:val="0"/>
          <w:numId w:val="2"/>
        </w:numPr>
        <w:spacing w:after="80"/>
      </w:pPr>
      <w:r>
        <w:rPr>
          <w:b w:val="false"/>
          <w:bCs w:val="false"/>
        </w:rPr>
        <w:t xml:space="preserve">The index's 52-week range of ₹638.65 to ₹974.50 continues to reflect elevated volatility in India's listed residential and realty stocks even amid steady underlying housing demand.</w:t>
      </w:r>
    </w:p>
    <w:p>
      <w:pPr>
        <w:spacing w:after="150"/>
      </w:pPr>
      <w:r>
        <w:rPr>
          <w:i/>
          <w:iCs/>
          <w:color w:val="595959"/>
          <w:sz w:val="18"/>
          <w:szCs w:val="18"/>
        </w:rPr>
        <w:t xml:space="preserve">Sources: Business Standard/Tickertape (Nifty Realty index level, 25 September 2026, constituent moves and 52-week range).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 permits 100% FDI under the automatic route for construction-development projects — townships, residential and commercial premises, roads, hotels and city-level infrastructure — subject to minimum investment and lock-in conditions.</w:t>
      </w:r>
    </w:p>
    <w:p>
      <w:pPr>
        <w:pStyle w:val="ListParagraph"/>
        <w:numPr>
          <w:ilvl w:val="0"/>
          <w:numId w:val="2"/>
        </w:numPr>
        <w:spacing w:after="80"/>
      </w:pPr>
      <w:r>
        <w:rPr>
          <w:b w:val="false"/>
          <w:bCs w:val="false"/>
        </w:rPr>
        <w:t xml:space="preserve">A March 2026 amendment introduced enhanced disclosure requirements for FDI from land-border countries including China, Pakistan and Bangladesh, adding compliance steps for downstream investments, secondary-market acquisitions and corporate restructuring in real estate.</w:t>
      </w:r>
    </w:p>
    <w:p>
      <w:pPr>
        <w:pStyle w:val="ListParagraph"/>
        <w:numPr>
          <w:ilvl w:val="0"/>
          <w:numId w:val="2"/>
        </w:numPr>
        <w:spacing w:after="80"/>
      </w:pPr>
      <w:r>
        <w:rPr>
          <w:b w:val="false"/>
          <w:bCs w:val="false"/>
        </w:rPr>
        <w:t xml:space="preserve">Despite India's dynamic growth profile, the country continues to underperform peer emerging markets in attracting sustained real estate FDI, with investors citing legal uncertainty, fragmented regulation and approval delays as recurring deterrents.</w:t>
      </w:r>
    </w:p>
    <w:p>
      <w:pPr>
        <w:spacing w:after="150"/>
      </w:pPr>
      <w:r>
        <w:rPr>
          <w:i/>
          <w:iCs/>
          <w:color w:val="595959"/>
          <w:sz w:val="18"/>
          <w:szCs w:val="18"/>
        </w:rPr>
        <w:t xml:space="preserve">Sources: NoBroker/Altacit (FDI automatic route rules, March 2026 land-border amendment); Veritas Legal (India FDI underperformance vs peer markets).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view continued volatility in listed realty stocks, despite the latest uptick, as a reminder to keep pushing for policy measures that improve sector liquidity and investor confidence.</w:t>
      </w:r>
    </w:p>
    <w:p>
      <w:pPr>
        <w:pStyle w:val="ListParagraph"/>
        <w:numPr>
          <w:ilvl w:val="0"/>
          <w:numId w:val="2"/>
        </w:numPr>
        <w:spacing w:after="80"/>
      </w:pPr>
      <w:r>
        <w:rPr>
          <w:b w:val="false"/>
          <w:bCs w:val="false"/>
        </w:rPr>
        <w:t xml:space="preserve">The land-border country FDI disclosure amendment is expected to prompt CREDAI's larger, foreign-capital-linked developer members to tighten compliance and ownership-disclosure processes nationally.</w:t>
      </w:r>
    </w:p>
    <w:p>
      <w:pPr>
        <w:pStyle w:val="ListParagraph"/>
        <w:numPr>
          <w:ilvl w:val="0"/>
          <w:numId w:val="2"/>
        </w:numPr>
        <w:spacing w:after="80"/>
      </w:pPr>
      <w:r>
        <w:rPr>
          <w:b w:val="false"/>
          <w:bCs w:val="false"/>
        </w:rPr>
        <w:t xml:space="preserve">Persistent foreign-investment underperformance relative to peer markets is likely to keep CREDAI and NAREDCO advocating for faster approvals and greater regulatory predictability to unlock additional FDI inflows into Indian real estate.</w:t>
      </w:r>
    </w:p>
    <w:p>
      <w:pPr>
        <w:spacing w:after="150"/>
      </w:pPr>
      <w:r>
        <w:rPr>
          <w:i/>
          <w:iCs/>
          <w:color w:val="595959"/>
          <w:sz w:val="18"/>
          <w:szCs w:val="18"/>
        </w:rPr>
        <w:t xml:space="preserve">Sources: Business Standard/Tickertape; NoBroker/Altacit; Veritas Legal.</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2026-09-27T03:38:05.835Z</dcterms:created>
  <dcterms:modified xsi:type="dcterms:W3CDTF">2026-09-27T03:38:05.846Z</dcterms:modified>
</cp:coreProperties>
</file>

<file path=docProps/custom.xml><?xml version="1.0" encoding="utf-8"?>
<Properties xmlns="http://schemas.openxmlformats.org/officeDocument/2006/custom-properties" xmlns:vt="http://schemas.openxmlformats.org/officeDocument/2006/docPropsVTypes"/>
</file>