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12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Koramangala's average pricing stands at roughly ₹16,250 per sq ft, with Sobha's Infinia project among recent 3- and 4-bedroom launches in the locality.</w:t>
      </w:r>
    </w:p>
    <w:p>
      <w:pPr>
        <w:pStyle w:val="ListParagraph"/>
        <w:numPr>
          <w:ilvl w:val="0"/>
          <w:numId w:val="2"/>
        </w:numPr>
        <w:spacing w:after="80"/>
      </w:pPr>
      <w:r>
        <w:rPr>
          <w:b w:val="false"/>
          <w:bCs w:val="false"/>
        </w:rPr>
        <w:t xml:space="preserve">Indiranagar, now a mature layout with almost no large undeveloped parcels, is seeing new supply mainly through redevelopment, with fresh launches on 100 Feet Road and CMH Road priced around ₹22,000 per sq ft.</w:t>
      </w:r>
    </w:p>
    <w:p>
      <w:pPr>
        <w:pStyle w:val="ListParagraph"/>
        <w:numPr>
          <w:ilvl w:val="0"/>
          <w:numId w:val="2"/>
        </w:numPr>
        <w:spacing w:after="80"/>
      </w:pPr>
      <w:r>
        <w:rPr>
          <w:b w:val="false"/>
          <w:bCs w:val="false"/>
        </w:rPr>
        <w:t xml:space="preserve">Century Regalia, Century Real Estate's luxury project on Golf Avenue Road in Domlur, is a small two-tower, low-rise-by-luxury-standards development with a possession date of 30 April 2029.</w:t>
      </w:r>
    </w:p>
    <w:p>
      <w:pPr>
        <w:spacing w:after="150"/>
      </w:pPr>
      <w:r>
        <w:rPr>
          <w:i/>
          <w:iCs/>
          <w:color w:val="595959"/>
          <w:sz w:val="18"/>
          <w:szCs w:val="18"/>
        </w:rPr>
        <w:t xml:space="preserve">Sources: Sobha (Koramangala pricing, Infinia launch); Brickplot/NxtFootstep (Indiranagar redevelopment, pricing); Harshasagar/Century Regalia (Domlur luxury launch).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With Indiranagar's new-launch supply extremely limited, fresh residential activity is increasingly spilling over into adjacent Koramangala and Thanisandra, reshaping demand patterns across Central and East Bengaluru.</w:t>
      </w:r>
    </w:p>
    <w:p>
      <w:pPr>
        <w:pStyle w:val="ListParagraph"/>
        <w:numPr>
          <w:ilvl w:val="0"/>
          <w:numId w:val="2"/>
        </w:numPr>
        <w:spacing w:after="80"/>
      </w:pPr>
      <w:r>
        <w:rPr>
          <w:b w:val="false"/>
          <w:bCs w:val="false"/>
        </w:rPr>
        <w:t xml:space="preserve">Namma Metro's Pink Line remains targeted for a second-half-October 2026 opening, pending the Commissioner of Metro Railway Safety's final compliance sign-off after the 6-8 October inspection.</w:t>
      </w:r>
    </w:p>
    <w:p>
      <w:pPr>
        <w:pStyle w:val="ListParagraph"/>
        <w:numPr>
          <w:ilvl w:val="0"/>
          <w:numId w:val="2"/>
        </w:numPr>
        <w:spacing w:after="80"/>
      </w:pPr>
      <w:r>
        <w:rPr>
          <w:b w:val="false"/>
          <w:bCs w:val="false"/>
        </w:rPr>
        <w:t xml:space="preserve">The Pink Line's six elevated stations from Kalena Agrahara to Tavarekere have cleared speed trials and received their ISA signalling certificate, with trains already approved for commercial service.</w:t>
      </w:r>
    </w:p>
    <w:p>
      <w:pPr>
        <w:spacing w:after="150"/>
      </w:pPr>
      <w:r>
        <w:rPr>
          <w:i/>
          <w:iCs/>
          <w:color w:val="595959"/>
          <w:sz w:val="18"/>
          <w:szCs w:val="18"/>
        </w:rPr>
        <w:t xml:space="preserve">Sources: NxtFootstep (Indiranagar supply spillover); Bengalurumetro.in (Pink Line opening target, ISA certification status).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Century Regalia's registered possession timeline of 30 April 2029 reflects K-RERA's continued tracking of long-gestation luxury project deliveries in established central Bengaluru localities.</w:t>
      </w:r>
    </w:p>
    <w:p>
      <w:pPr>
        <w:pStyle w:val="ListParagraph"/>
        <w:numPr>
          <w:ilvl w:val="0"/>
          <w:numId w:val="2"/>
        </w:numPr>
        <w:spacing w:after="80"/>
      </w:pPr>
      <w:r>
        <w:rPr>
          <w:b w:val="false"/>
          <w:bCs w:val="false"/>
        </w:rPr>
        <w:t xml:space="preserve">CREDAI Karnataka members in Indiranagar and Domlur continue to navigate a market defined by redevelopment rather than fresh land supply, a dynamic that increasingly shapes registration patterns in the city's mature core.</w:t>
      </w:r>
    </w:p>
    <w:p>
      <w:pPr>
        <w:pStyle w:val="ListParagraph"/>
        <w:numPr>
          <w:ilvl w:val="0"/>
          <w:numId w:val="2"/>
        </w:numPr>
        <w:spacing w:after="80"/>
      </w:pPr>
      <w:r>
        <w:rPr>
          <w:b w:val="false"/>
          <w:bCs w:val="false"/>
        </w:rPr>
        <w:t xml:space="preserve">The Pink Line's repeatedly slipped opening timeline, from earlier August and September 2026 targets, continues to be a point of scrutiny for CREDAI Karnataka members planning launches along Bannerghatta Road.</w:t>
      </w:r>
    </w:p>
    <w:p>
      <w:pPr>
        <w:spacing w:after="150"/>
      </w:pPr>
      <w:r>
        <w:rPr>
          <w:i/>
          <w:iCs/>
          <w:color w:val="595959"/>
          <w:sz w:val="18"/>
          <w:szCs w:val="18"/>
        </w:rPr>
        <w:t xml:space="preserve">Sources: Century Regalia/Harshasagar; NxtFootstep; Bengalurumetro.in.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Kochi Metro Rail Ltd has stepped up construction on Phase II, an 11.2 km elevated line from JLN Stadium through Kakkanad to Infopark-SmartCity, targeted for completion by August 2027, though a separate report suggests the corridor may open earlier by April 2027 after funding-related delays.</w:t>
      </w:r>
    </w:p>
    <w:p>
      <w:pPr>
        <w:pStyle w:val="ListParagraph"/>
        <w:numPr>
          <w:ilvl w:val="0"/>
          <w:numId w:val="2"/>
        </w:numPr>
        <w:spacing w:after="80"/>
      </w:pPr>
      <w:r>
        <w:rPr>
          <w:b w:val="false"/>
          <w:bCs w:val="false"/>
        </w:rPr>
        <w:t xml:space="preserve">Infopark apartment prices average roughly ₹2,300 per sq ft, with a 24.3% price movement over the past year, reflecting continued residential demand near Kochi's IT corridor.</w:t>
      </w:r>
    </w:p>
    <w:p>
      <w:pPr>
        <w:pStyle w:val="ListParagraph"/>
        <w:numPr>
          <w:ilvl w:val="0"/>
          <w:numId w:val="2"/>
        </w:numPr>
        <w:spacing w:after="80"/>
      </w:pPr>
      <w:r>
        <w:rPr>
          <w:b w:val="false"/>
          <w:bCs w:val="false"/>
        </w:rPr>
        <w:t xml:space="preserve">Kakkanad continues to draw IT professionals due to its proximity to Infopark and SmartCity, reinforcing the corridor's position as Kochi's primary residential growth engine.</w:t>
      </w:r>
    </w:p>
    <w:p>
      <w:pPr>
        <w:spacing w:after="150"/>
      </w:pPr>
      <w:r>
        <w:rPr>
          <w:i/>
          <w:iCs/>
          <w:color w:val="595959"/>
          <w:sz w:val="18"/>
          <w:szCs w:val="18"/>
        </w:rPr>
        <w:t xml:space="preserve">Sources: Trinity Builders (Kochi Metro Phase II timeline); 99acres (Infopark pricing); Gharpe (Kakkanad demand drivers).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KMRL has initiated survey work for a roughly 2.5 km Water Metro extension from Chittethukara to Infopark, reported on 28 August 2026, adding a further connectivity catalyst to the IT corridor.</w:t>
      </w:r>
    </w:p>
    <w:p>
      <w:pPr>
        <w:pStyle w:val="ListParagraph"/>
        <w:numPr>
          <w:ilvl w:val="0"/>
          <w:numId w:val="2"/>
        </w:numPr>
        <w:spacing w:after="80"/>
      </w:pPr>
      <w:r>
        <w:rPr>
          <w:b w:val="false"/>
          <w:bCs w:val="false"/>
        </w:rPr>
        <w:t xml:space="preserve">Continued divergence between KMRL's official August 2027 Metro Phase II target and alternative reports of an earlier April 2027 completion highlights ongoing funding-related uncertainty around the corridor's infrastructure timeline.</w:t>
      </w:r>
    </w:p>
    <w:p>
      <w:pPr>
        <w:pStyle w:val="ListParagraph"/>
        <w:numPr>
          <w:ilvl w:val="0"/>
          <w:numId w:val="2"/>
        </w:numPr>
        <w:spacing w:after="80"/>
      </w:pPr>
      <w:r>
        <w:rPr>
          <w:b w:val="false"/>
          <w:bCs w:val="false"/>
        </w:rPr>
        <w:t xml:space="preserve">Sustained IT-sector demand around SmartCity and Infopark continues to support commercial and residential development momentum in Kochi's Kakkanad belt.</w:t>
      </w:r>
    </w:p>
    <w:p>
      <w:pPr>
        <w:spacing w:after="150"/>
      </w:pPr>
      <w:r>
        <w:rPr>
          <w:i/>
          <w:iCs/>
          <w:color w:val="595959"/>
          <w:sz w:val="18"/>
          <w:szCs w:val="18"/>
        </w:rPr>
        <w:t xml:space="preserve">Sources: Wikipedia (Water Metro extension survey); Trinity Builders; Gharpe.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Kerala is likely to view continued KMRL construction activity on Metro Phase II and the Water Metro extension as reinforcing confidence in Kochi's Infopark-Kakkanad corridor despite timeline uncertainty.</w:t>
      </w:r>
    </w:p>
    <w:p>
      <w:pPr>
        <w:pStyle w:val="ListParagraph"/>
        <w:numPr>
          <w:ilvl w:val="0"/>
          <w:numId w:val="2"/>
        </w:numPr>
        <w:spacing w:after="80"/>
      </w:pPr>
      <w:r>
        <w:rPr>
          <w:b w:val="false"/>
          <w:bCs w:val="false"/>
        </w:rPr>
        <w:t xml:space="preserve">The gap between KMRL's official and unofficial completion targets is likely to keep CREDAI Kerala members cautious about timing new project launches tied explicitly to metro-linked connectivity.</w:t>
      </w:r>
    </w:p>
    <w:p>
      <w:pPr>
        <w:pStyle w:val="ListParagraph"/>
        <w:numPr>
          <w:ilvl w:val="0"/>
          <w:numId w:val="2"/>
        </w:numPr>
        <w:spacing w:after="80"/>
      </w:pPr>
      <w:r>
        <w:rPr>
          <w:b w:val="false"/>
          <w:bCs w:val="false"/>
        </w:rPr>
        <w:t xml:space="preserve">Continued double-digit price growth around Infopark and SmartCity gives CREDAI Kerala a strong data point for sustained registration activity in Kochi's IT corridor.</w:t>
      </w:r>
    </w:p>
    <w:p>
      <w:pPr>
        <w:spacing w:after="150"/>
      </w:pPr>
      <w:r>
        <w:rPr>
          <w:i/>
          <w:iCs/>
          <w:color w:val="595959"/>
          <w:sz w:val="18"/>
          <w:szCs w:val="18"/>
        </w:rPr>
        <w:t xml:space="preserve">Sources: Trinity Builders; Wikipedia; 99acres.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Anarock reported Q1 2026 housing sales fell 7% QoQ across India's top cities to roughly 101,675 units, with the dip largely attributed to uncertainty stemming from the West Asia conflict.</w:t>
      </w:r>
    </w:p>
    <w:p>
      <w:pPr>
        <w:pStyle w:val="ListParagraph"/>
        <w:numPr>
          <w:ilvl w:val="0"/>
          <w:numId w:val="2"/>
        </w:numPr>
        <w:spacing w:after="80"/>
      </w:pPr>
      <w:r>
        <w:rPr>
          <w:b w:val="false"/>
          <w:bCs w:val="false"/>
        </w:rPr>
        <w:t xml:space="preserve">Q2 2026 sales were down 6% YoY even as new launches rose 7%, reflecting continued volatility in the national residential market through the first half of the year.</w:t>
      </w:r>
    </w:p>
    <w:p>
      <w:pPr>
        <w:pStyle w:val="ListParagraph"/>
        <w:numPr>
          <w:ilvl w:val="0"/>
          <w:numId w:val="2"/>
        </w:numPr>
        <w:spacing w:after="80"/>
      </w:pPr>
      <w:r>
        <w:rPr>
          <w:b w:val="false"/>
          <w:bCs w:val="false"/>
        </w:rPr>
        <w:t xml:space="preserve">Despite the H1 2026 volatility, Mumbai and Pune were earlier expected to push housing sales to record highs in certain quarters, underscoring how uneven demand recovery has been city-by-city through the year.</w:t>
      </w:r>
    </w:p>
    <w:p>
      <w:pPr>
        <w:spacing w:after="150"/>
      </w:pPr>
      <w:r>
        <w:rPr>
          <w:i/>
          <w:iCs/>
          <w:color w:val="595959"/>
          <w:sz w:val="18"/>
          <w:szCs w:val="18"/>
        </w:rPr>
        <w:t xml:space="preserve">Sources: Business Standard/Anarock (Q1 2026 sales dip, West Asia conflict impact); YouTube/Anarock summary (Q2 2026 sales and launch trend).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Temasek-backed Mapletree is reportedly considering an India REIT listing targeting mid-to-late 2027 in Mumbai, with the trust potentially raising up to S$600 million.</w:t>
      </w:r>
    </w:p>
    <w:p>
      <w:pPr>
        <w:pStyle w:val="ListParagraph"/>
        <w:numPr>
          <w:ilvl w:val="0"/>
          <w:numId w:val="2"/>
        </w:numPr>
        <w:spacing w:after="80"/>
      </w:pPr>
      <w:r>
        <w:rPr>
          <w:b w:val="false"/>
          <w:bCs w:val="false"/>
        </w:rPr>
        <w:t xml:space="preserve">India's five listed REITs — Knowledge Realty Trust, Mindspace, Brookfield India REIT, Embassy Office Parks and Nexus Select Trust — together held gross AUM exceeding ₹2,50,000 crore as of Q3 FY26.</w:t>
      </w:r>
    </w:p>
    <w:p>
      <w:pPr>
        <w:pStyle w:val="ListParagraph"/>
        <w:numPr>
          <w:ilvl w:val="0"/>
          <w:numId w:val="2"/>
        </w:numPr>
        <w:spacing w:after="80"/>
      </w:pPr>
      <w:r>
        <w:rPr>
          <w:b w:val="false"/>
          <w:bCs w:val="false"/>
        </w:rPr>
        <w:t xml:space="preserve">Bagmane Prime Office REIT's draft IPO filing, seeking to raise up to ₹4,000 crore, remains in the pipeline as market regulators continue reviewing new REIT listings nationally.</w:t>
      </w:r>
    </w:p>
    <w:p>
      <w:pPr>
        <w:spacing w:after="150"/>
      </w:pPr>
      <w:r>
        <w:rPr>
          <w:i/>
          <w:iCs/>
          <w:color w:val="595959"/>
          <w:sz w:val="18"/>
          <w:szCs w:val="18"/>
        </w:rPr>
        <w:t xml:space="preserve">Sources: The Star/Reuters (Mapletree India REIT listing plans); Therealtytoday/CBRE (listed REIT AUM); Marketscreener (Bagmane Prime Office REIT IPO filing).</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Mapletree's potential India REIT listing as further evidence of deepening global institutional interest in the country's commercial real estate sector.</w:t>
      </w:r>
    </w:p>
    <w:p>
      <w:pPr>
        <w:pStyle w:val="ListParagraph"/>
        <w:numPr>
          <w:ilvl w:val="0"/>
          <w:numId w:val="2"/>
        </w:numPr>
        <w:spacing w:after="80"/>
      </w:pPr>
      <w:r>
        <w:rPr>
          <w:b w:val="false"/>
          <w:bCs w:val="false"/>
        </w:rPr>
        <w:t xml:space="preserve">With India's listed REIT AUM surpassing ₹2,50,000 crore, CREDAI and NAREDCO continue to advocate for an expanded SM-REIT framework to extend similar monetisation opportunities to smaller developers nationally.</w:t>
      </w:r>
    </w:p>
    <w:p>
      <w:pPr>
        <w:pStyle w:val="ListParagraph"/>
        <w:numPr>
          <w:ilvl w:val="0"/>
          <w:numId w:val="2"/>
        </w:numPr>
        <w:spacing w:after="80"/>
      </w:pPr>
      <w:r>
        <w:rPr>
          <w:b w:val="false"/>
          <w:bCs w:val="false"/>
        </w:rPr>
        <w:t xml:space="preserve">Continued H1 2026 sales volatility, driven partly by geopolitical uncertainty, is expected to keep CREDAI and NAREDCO focused on demand-stabilisation measures even as institutional capital-markets activity accelerates.</w:t>
      </w:r>
    </w:p>
    <w:p>
      <w:pPr>
        <w:spacing w:after="150"/>
      </w:pPr>
      <w:r>
        <w:rPr>
          <w:i/>
          <w:iCs/>
          <w:color w:val="595959"/>
          <w:sz w:val="18"/>
          <w:szCs w:val="18"/>
        </w:rPr>
        <w:t xml:space="preserve">Sources: The Star/Reuters; Business Standard/Anarock; Therealtytoday/CBRE.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2026-10-12T03:46:34.076Z</dcterms:created>
  <dcterms:modified xsi:type="dcterms:W3CDTF">2026-10-12T03:46:34.087Z</dcterms:modified>
</cp:coreProperties>
</file>

<file path=docProps/custom.xml><?xml version="1.0" encoding="utf-8"?>
<Properties xmlns="http://schemas.openxmlformats.org/officeDocument/2006/custom-properties" xmlns:vt="http://schemas.openxmlformats.org/officeDocument/2006/docPropsVTypes"/>
</file>