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1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is being positioned by industry commentary as the anchor of India's next real estate "supercycle" through 2025-2026, powered by genuine end-user demand, robust job creation and steadily improving connectivity.</w:t>
      </w:r>
    </w:p>
    <w:p>
      <w:pPr>
        <w:pStyle w:val="ListParagraph"/>
        <w:numPr>
          <w:ilvl w:val="0"/>
          <w:numId w:val="2"/>
        </w:numPr>
        <w:spacing w:after="80"/>
      </w:pPr>
      <w:r>
        <w:rPr>
          <w:b w:val="false"/>
          <w:bCs w:val="false"/>
        </w:rPr>
        <w:t xml:space="preserve">Residential rents across Bengaluru are projected to grow 7–10% per a Reuters poll of housing experts, with employment-led cities like Bengaluru expected to remain among the strongest beneficiaries of this rental upcycle.</w:t>
      </w:r>
    </w:p>
    <w:p>
      <w:pPr>
        <w:pStyle w:val="ListParagraph"/>
        <w:numPr>
          <w:ilvl w:val="0"/>
          <w:numId w:val="2"/>
        </w:numPr>
        <w:spacing w:after="80"/>
      </w:pPr>
      <w:r>
        <w:rPr>
          <w:b w:val="false"/>
          <w:bCs w:val="false"/>
        </w:rPr>
        <w:t xml:space="preserve">Rising prices continue to push middle-class buyers toward peripheral corridors like Whitefield and Sarjapur Road, even as over 42% of prospective Bengaluru buyers can no longer afford homes priced below ₹1 crore.</w:t>
      </w:r>
    </w:p>
    <w:p>
      <w:pPr>
        <w:pStyle w:val="ListParagraph"/>
        <w:numPr>
          <w:ilvl w:val="0"/>
          <w:numId w:val="2"/>
        </w:numPr>
        <w:spacing w:after="80"/>
      </w:pPr>
      <w:r>
        <w:rPr>
          <w:b w:val="false"/>
          <w:bCs w:val="false"/>
        </w:rPr>
        <w:t xml:space="preserve">The upcoming Greater Bengaluru Authority elections in 2026 add a governance dimension to the city's real estate outlook, with implications for planning and infrastructure continuity across the region.</w:t>
      </w:r>
    </w:p>
    <w:p>
      <w:pPr>
        <w:spacing w:after="150"/>
      </w:pPr>
      <w:r>
        <w:rPr>
          <w:i/>
          <w:iCs/>
          <w:color w:val="595959"/>
          <w:sz w:val="18"/>
          <w:szCs w:val="18"/>
        </w:rPr>
        <w:t xml:space="preserve">Sources: The Realty Today; Proppy.ai; BookNewProperty; Wikipedia (2026 Greater Bengaluru Authority elections).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companies leasing 14.1 million sq ft.</w:t>
      </w:r>
    </w:p>
    <w:p>
      <w:pPr>
        <w:pStyle w:val="ListParagraph"/>
        <w:numPr>
          <w:ilvl w:val="0"/>
          <w:numId w:val="2"/>
        </w:numPr>
        <w:spacing w:after="80"/>
      </w:pPr>
      <w:r>
        <w:rPr>
          <w:b w:val="false"/>
          <w:bCs w:val="false"/>
        </w:rPr>
        <w:t xml:space="preserve">Bengaluru's unsold housing inventory (84,000 units, having crossed Mumbai) continues to sit alongside strong commercial leasing demand, illustrating a bifurcated market between residential oversupply and robust office absorption.</w:t>
      </w:r>
    </w:p>
    <w:p>
      <w:pPr>
        <w:pStyle w:val="ListParagraph"/>
        <w:numPr>
          <w:ilvl w:val="0"/>
          <w:numId w:val="2"/>
        </w:numPr>
        <w:spacing w:after="80"/>
      </w:pPr>
      <w:r>
        <w:rPr>
          <w:b w:val="false"/>
          <w:bCs w:val="false"/>
        </w:rPr>
        <w:t xml:space="preserve">Rental growth expectations (7–10% nationally, with Bengaluru among the strongest performers) point to continued landlord pricing power across both residential and commercial segments in the city.</w:t>
      </w:r>
    </w:p>
    <w:p>
      <w:pPr>
        <w:spacing w:after="150"/>
      </w:pPr>
      <w:r>
        <w:rPr>
          <w:i/>
          <w:iCs/>
          <w:color w:val="595959"/>
          <w:sz w:val="18"/>
          <w:szCs w:val="18"/>
        </w:rPr>
        <w:t xml:space="preserve">Sources: Business Standard; Proppy.ai (Reuters poll).</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2026 Greater Bengaluru Authority elections are expected to reshape local governance structures relevant to real estate approvals, zoning and infrastructure planning across the Bengaluru metropolitan region.</w:t>
      </w:r>
    </w:p>
    <w:p>
      <w:pPr>
        <w:pStyle w:val="ListParagraph"/>
        <w:numPr>
          <w:ilvl w:val="0"/>
          <w:numId w:val="2"/>
        </w:numPr>
        <w:spacing w:after="80"/>
      </w:pPr>
      <w:r>
        <w:rPr>
          <w:b w:val="false"/>
          <w:bCs w:val="false"/>
        </w:rPr>
        <w:t xml:space="preserve">CREDAI Karnataka continues to track state policy developments — including e-Khata, stamp duty and guidance-value debates — as they intersect with the city's evolving governance landscape.</w:t>
      </w:r>
    </w:p>
    <w:p>
      <w:pPr>
        <w:pStyle w:val="ListParagraph"/>
        <w:numPr>
          <w:ilvl w:val="0"/>
          <w:numId w:val="2"/>
        </w:numPr>
        <w:spacing w:after="80"/>
      </w:pPr>
      <w:r>
        <w:rPr>
          <w:b w:val="false"/>
          <w:bCs w:val="false"/>
        </w:rPr>
        <w:t xml:space="preserve">K-RERA's ongoing compliance and enforcement initiatives continue in parallel with these broader governance changes, as the state balances regulatory modernisation with administrative transition.</w:t>
      </w:r>
    </w:p>
    <w:p>
      <w:pPr>
        <w:spacing w:after="150"/>
      </w:pPr>
      <w:r>
        <w:rPr>
          <w:i/>
          <w:iCs/>
          <w:color w:val="595959"/>
          <w:sz w:val="18"/>
          <w:szCs w:val="18"/>
        </w:rPr>
        <w:t xml:space="preserve">Sources: Wikipedia (2026 Greater Bengaluru Authority elections); CREDAI Karnataka; Deccan Herald.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suburban corridors — Navalur and Siruseri — are seeing a surge in investment activity driven by high rental yields, redefining the city's appeal for residential investors.</w:t>
      </w:r>
    </w:p>
    <w:p>
      <w:pPr>
        <w:pStyle w:val="ListParagraph"/>
        <w:numPr>
          <w:ilvl w:val="0"/>
          <w:numId w:val="2"/>
        </w:numPr>
        <w:spacing w:after="80"/>
      </w:pPr>
      <w:r>
        <w:rPr>
          <w:b w:val="false"/>
          <w:bCs w:val="false"/>
        </w:rPr>
        <w:t xml:space="preserve">Rentals in select northern Chennai submarkets appreciated 5–11% YoY, supported by sustained tenant demand.</w:t>
      </w:r>
    </w:p>
    <w:p>
      <w:pPr>
        <w:pStyle w:val="ListParagraph"/>
        <w:numPr>
          <w:ilvl w:val="0"/>
          <w:numId w:val="2"/>
        </w:numPr>
        <w:spacing w:after="80"/>
      </w:pPr>
      <w:r>
        <w:rPr>
          <w:b w:val="false"/>
          <w:bCs w:val="false"/>
        </w:rPr>
        <w:t xml:space="preserve">Hyderabad's residential sales grew 53% YoY to 17,658 units in the July–September period (from 11,564 a year earlier), with rental yields in the city also on an upward trajectory as demand strengthens.</w:t>
      </w:r>
    </w:p>
    <w:p>
      <w:pPr>
        <w:spacing w:after="150"/>
      </w:pPr>
      <w:r>
        <w:rPr>
          <w:i/>
          <w:iCs/>
          <w:color w:val="595959"/>
          <w:sz w:val="18"/>
          <w:szCs w:val="18"/>
        </w:rPr>
        <w:t xml:space="preserve">Sources: 99acres; Tradebrains; Business Standard/PropTiger.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continues to draw investor interest in emerging suburban corridors, complementing its established GCC-led office demand base.</w:t>
      </w:r>
    </w:p>
    <w:p>
      <w:pPr>
        <w:pStyle w:val="ListParagraph"/>
        <w:numPr>
          <w:ilvl w:val="0"/>
          <w:numId w:val="2"/>
        </w:numPr>
        <w:spacing w:after="80"/>
      </w:pPr>
      <w:r>
        <w:rPr>
          <w:b w:val="false"/>
          <w:bCs w:val="false"/>
        </w:rPr>
        <w:t xml:space="preserve">Hyderabad's office market continues to show increased leasing activity, reinforcing the city's position as one of South India's key commercial hubs alongside Chennai and Bengaluru.</w:t>
      </w:r>
    </w:p>
    <w:p>
      <w:pPr>
        <w:pStyle w:val="ListParagraph"/>
        <w:numPr>
          <w:ilvl w:val="0"/>
          <w:numId w:val="2"/>
        </w:numPr>
        <w:spacing w:after="80"/>
      </w:pPr>
      <w:r>
        <w:rPr>
          <w:b w:val="false"/>
          <w:bCs w:val="false"/>
        </w:rPr>
        <w:t xml:space="preserve">Rental yield improvements across South Indian residential and commercial assets point to strengthening investor confidence in the region's income-generating real estate.</w:t>
      </w:r>
    </w:p>
    <w:p>
      <w:pPr>
        <w:spacing w:after="150"/>
      </w:pPr>
      <w:r>
        <w:rPr>
          <w:i/>
          <w:iCs/>
          <w:color w:val="595959"/>
          <w:sz w:val="18"/>
          <w:szCs w:val="18"/>
        </w:rPr>
        <w:t xml:space="preserve">Sources: 99acres; Business Standard.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CREDAI's Hyderabad Property Show 2026 (28–30 August, HITEX) continues to be promoted under the "Rate Aagadhu – Demand Thaggadhu" theme, aiming to showcase 100+ RERA-approved projects and encourage buyers to make Hyderabad their permanent home.</w:t>
      </w:r>
    </w:p>
    <w:p>
      <w:pPr>
        <w:pStyle w:val="ListParagraph"/>
        <w:numPr>
          <w:ilvl w:val="0"/>
          <w:numId w:val="2"/>
        </w:numPr>
        <w:spacing w:after="80"/>
      </w:pPr>
      <w:r>
        <w:rPr>
          <w:b w:val="false"/>
          <w:bCs w:val="false"/>
        </w:rPr>
        <w:t xml:space="preserve">The show will give homebuyers the opportunity to interact directly with developers and consult leading banks, reinforcing CREDAI's role in facilitating transparent, RERA-compliant transactions in the city.</w:t>
      </w:r>
    </w:p>
    <w:p>
      <w:pPr>
        <w:pStyle w:val="ListParagraph"/>
        <w:numPr>
          <w:ilvl w:val="0"/>
          <w:numId w:val="2"/>
        </w:numPr>
        <w:spacing w:after="80"/>
      </w:pPr>
      <w:r>
        <w:rPr>
          <w:b w:val="false"/>
          <w:bCs w:val="false"/>
        </w:rPr>
        <w:t xml:space="preserve">CREDAI's continued national advocacy on RERA extensions and affordable-housing reform remains directly relevant to South India's fast-growing but increasingly rental-yield-focused residential markets.</w:t>
      </w:r>
    </w:p>
    <w:p>
      <w:pPr>
        <w:spacing w:after="150"/>
      </w:pPr>
      <w:r>
        <w:rPr>
          <w:i/>
          <w:iCs/>
          <w:color w:val="595959"/>
          <w:sz w:val="18"/>
          <w:szCs w:val="18"/>
        </w:rPr>
        <w:t xml:space="preserve">Sources: Telangana Today; The Hans India; Outlook Money.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residential market grew 3% in H1 2026 to 1,38,382 units sold, per JLL, with new launches up 9% to 1,68,507 units, signalling sustained buyer confidence and strong developer confidence despite a temporary Q2 moderation.</w:t>
      </w:r>
    </w:p>
    <w:p>
      <w:pPr>
        <w:pStyle w:val="ListParagraph"/>
        <w:numPr>
          <w:ilvl w:val="0"/>
          <w:numId w:val="2"/>
        </w:numPr>
        <w:spacing w:after="80"/>
      </w:pPr>
      <w:r>
        <w:rPr>
          <w:b w:val="false"/>
          <w:bCs w:val="false"/>
        </w:rPr>
        <w:t xml:space="preserve">The ₹1–3 crore homes segment surged 58% YoY, underscoring buyers' growing willingness to invest in well-located, premium developments offering long-term value.</w:t>
      </w:r>
    </w:p>
    <w:p>
      <w:pPr>
        <w:pStyle w:val="ListParagraph"/>
        <w:numPr>
          <w:ilvl w:val="0"/>
          <w:numId w:val="2"/>
        </w:numPr>
        <w:spacing w:after="80"/>
      </w:pPr>
      <w:r>
        <w:rPr>
          <w:b w:val="false"/>
          <w:bCs w:val="false"/>
        </w:rPr>
        <w:t xml:space="preserve">Bengaluru, Mumbai, Pune and Delhi-NCR collectively accounted for ~76% of total national residential sales in H1 2026.</w:t>
      </w:r>
    </w:p>
    <w:p>
      <w:pPr>
        <w:spacing w:after="150"/>
      </w:pPr>
      <w:r>
        <w:rPr>
          <w:i/>
          <w:iCs/>
          <w:color w:val="595959"/>
          <w:sz w:val="18"/>
          <w:szCs w:val="18"/>
        </w:rPr>
        <w:t xml:space="preserve">Sources: JLL (via Prokerala/Business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All-India House Price Index rose 3.58% YoY in Q3 FY2025-26 (quarter ended December 2025), and 1.24% QoQ, per NHB RESIDEX data.</w:t>
      </w:r>
    </w:p>
    <w:p>
      <w:pPr>
        <w:pStyle w:val="ListParagraph"/>
        <w:numPr>
          <w:ilvl w:val="0"/>
          <w:numId w:val="2"/>
        </w:numPr>
        <w:spacing w:after="80"/>
      </w:pPr>
      <w:r>
        <w:rPr>
          <w:b w:val="false"/>
          <w:bCs w:val="false"/>
        </w:rPr>
        <w:t xml:space="preserve">NHB's Housing Index rose to 104.51 points in Q1 2026, up from 102.32 in Q4 2025, reflecting continued, if moderating, national price appreciation.</w:t>
      </w:r>
    </w:p>
    <w:p>
      <w:pPr>
        <w:pStyle w:val="ListParagraph"/>
        <w:numPr>
          <w:ilvl w:val="0"/>
          <w:numId w:val="2"/>
        </w:numPr>
        <w:spacing w:after="80"/>
      </w:pPr>
      <w:r>
        <w:rPr>
          <w:b w:val="false"/>
          <w:bCs w:val="false"/>
        </w:rPr>
        <w:t xml:space="preserve">Residential rents across India's urban markets are expected to grow 7–10% nationally, per a Reuters poll of housing experts, with employment-led cities remaining the strongest beneficiaries.</w:t>
      </w:r>
    </w:p>
    <w:p>
      <w:pPr>
        <w:spacing w:after="150"/>
      </w:pPr>
      <w:r>
        <w:rPr>
          <w:i/>
          <w:iCs/>
          <w:color w:val="595959"/>
          <w:sz w:val="18"/>
          <w:szCs w:val="18"/>
        </w:rPr>
        <w:t xml:space="preserve">Sources: NHB RESIDEX; TradingEconomics; Proppy.ai (Reuters poll).</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continues to press for a 3–6 month RERA project-completion extension nationally, citing ongoing construction and supply-chain challenges facing developers.</w:t>
      </w:r>
    </w:p>
    <w:p>
      <w:pPr>
        <w:pStyle w:val="ListParagraph"/>
        <w:numPr>
          <w:ilvl w:val="0"/>
          <w:numId w:val="2"/>
        </w:numPr>
        <w:spacing w:after="80"/>
      </w:pPr>
      <w:r>
        <w:rPr>
          <w:b w:val="false"/>
          <w:bCs w:val="false"/>
        </w:rPr>
        <w:t xml:space="preserve">RERA continues to be credited with reshaping India's housing market and boosting investor confidence nationally, per recent industry analysis tracking the framework's decade-long impact.</w:t>
      </w:r>
    </w:p>
    <w:p>
      <w:pPr>
        <w:pStyle w:val="ListParagraph"/>
        <w:numPr>
          <w:ilvl w:val="0"/>
          <w:numId w:val="2"/>
        </w:numPr>
        <w:spacing w:after="80"/>
      </w:pPr>
      <w:r>
        <w:rPr>
          <w:b w:val="false"/>
          <w:bCs w:val="false"/>
        </w:rPr>
        <w:t xml:space="preserve">CREDAI's Hyderabad Property Show 2026, showcasing 100+ RERA-approved projects, reflects the continued national push by CREDAI chapters to steer homebuyers toward RERA-compliant inventory.</w:t>
      </w:r>
    </w:p>
    <w:p>
      <w:pPr>
        <w:spacing w:after="150"/>
      </w:pPr>
      <w:r>
        <w:rPr>
          <w:i/>
          <w:iCs/>
          <w:color w:val="595959"/>
          <w:sz w:val="18"/>
          <w:szCs w:val="18"/>
        </w:rPr>
        <w:t xml:space="preserve">Sources: Outlook Money; Business Standard; Telangana Today.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2026-08-01T03:40:19.410Z</dcterms:created>
  <dcterms:modified xsi:type="dcterms:W3CDTF">2026-08-01T03:40:19.426Z</dcterms:modified>
</cp:coreProperties>
</file>

<file path=docProps/custom.xml><?xml version="1.0" encoding="utf-8"?>
<Properties xmlns="http://schemas.openxmlformats.org/officeDocument/2006/custom-properties" xmlns:vt="http://schemas.openxmlformats.org/officeDocument/2006/docPropsVTypes"/>
</file>