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26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North Bengaluru's Hebbal-Yelahanka-Jakkur-Devanahalli belt now prices apartments at ₹6,500-14,000 per sq ft and holds the city's deepest upcoming project pipeline for 2026, driven by the airport, the KIADB Aerospace Park and the arriving Blue Line metro.</w:t>
      </w:r>
    </w:p>
    <w:p>
      <w:pPr>
        <w:pStyle w:val="ListParagraph"/>
        <w:numPr>
          <w:ilvl w:val="0"/>
          <w:numId w:val="2"/>
        </w:numPr>
        <w:spacing w:after="80"/>
      </w:pPr>
      <w:r>
        <w:rPr>
          <w:b w:val="false"/>
          <w:bCs w:val="false"/>
        </w:rPr>
        <w:t xml:space="preserve">South Bengaluru's JP Nagar and Jayanagar BDA layouts command ₹12,000-22,000 per sq ft, with limited resale supply keeping these established, largely end-user markets tightly priced.</w:t>
      </w:r>
    </w:p>
    <w:p>
      <w:pPr>
        <w:pStyle w:val="ListParagraph"/>
        <w:numPr>
          <w:ilvl w:val="0"/>
          <w:numId w:val="2"/>
        </w:numPr>
        <w:spacing w:after="80"/>
      </w:pPr>
      <w:r>
        <w:rPr>
          <w:b w:val="false"/>
          <w:bCs w:val="false"/>
        </w:rPr>
        <w:t xml:space="preserve">Namma Metro's Blue Line Phase 2B airport-connectivity corridor went operational in June 2026, spanning 58.19 km across 32 stations from Central Silk Board to Kempegowda International Airport, pricing in a significant premium within 3 km of stations in Yelahanka, Hebbal and the airport precinct.</w:t>
      </w:r>
    </w:p>
    <w:p>
      <w:pPr>
        <w:spacing w:after="150"/>
      </w:pPr>
      <w:r>
        <w:rPr>
          <w:i/>
          <w:iCs/>
          <w:color w:val="595959"/>
          <w:sz w:val="18"/>
          <w:szCs w:val="18"/>
        </w:rPr>
        <w:t xml:space="preserve">Sources: Money Matrix Hub (North Bengaluru pricing, project pipeline); PropNewz (JP Nagar/Jayanagar BDA layout pricing); OneCityProperty (Blue Line Phase 2B operational status, station-premium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under-construction Pink Line metro and the newly approved Phase 3 Orange Line have triggered a fresh wave of launches across Bannerghatta Road, Kanakapura Road, JP Nagar, Jayanagar and Banashankari after years of relatively quiet activity.</w:t>
      </w:r>
    </w:p>
    <w:p>
      <w:pPr>
        <w:pStyle w:val="ListParagraph"/>
        <w:numPr>
          <w:ilvl w:val="0"/>
          <w:numId w:val="2"/>
        </w:numPr>
        <w:spacing w:after="80"/>
      </w:pPr>
      <w:r>
        <w:rPr>
          <w:b w:val="false"/>
          <w:bCs w:val="false"/>
        </w:rPr>
        <w:t xml:space="preserve">Corridors within 3 km of Blue Line stations are commanding premium commercial and retail interest as airport and tech-park connectivity improves across North Bengaluru.</w:t>
      </w:r>
    </w:p>
    <w:p>
      <w:pPr>
        <w:pStyle w:val="ListParagraph"/>
        <w:numPr>
          <w:ilvl w:val="0"/>
          <w:numId w:val="2"/>
        </w:numPr>
        <w:spacing w:after="80"/>
      </w:pPr>
      <w:r>
        <w:rPr>
          <w:b w:val="false"/>
          <w:bCs w:val="false"/>
        </w:rPr>
        <w:t xml:space="preserve">Continued institutional and developer interest across the Hebbal-Yelahanka belt is being reinforced by KIADB Aerospace Park-linked industrial and office demand.</w:t>
      </w:r>
    </w:p>
    <w:p>
      <w:pPr>
        <w:spacing w:after="150"/>
      </w:pPr>
      <w:r>
        <w:rPr>
          <w:i/>
          <w:iCs/>
          <w:color w:val="595959"/>
          <w:sz w:val="18"/>
          <w:szCs w:val="18"/>
        </w:rPr>
        <w:t xml:space="preserve">Sources: NoBroker (South Bengaluru metro-driven launch activity); OneCityProperty; Money Matrix Hub.</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Bengaluru's five GBA city corporations have added a new "software charge" to property tax bills — ₹200 for residential and ₹1,000 for commercial properties — to cover digital infrastructure costs, sparking political controversy over its legal basis.</w:t>
      </w:r>
    </w:p>
    <w:p>
      <w:pPr>
        <w:pStyle w:val="ListParagraph"/>
        <w:numPr>
          <w:ilvl w:val="0"/>
          <w:numId w:val="2"/>
        </w:numPr>
        <w:spacing w:after="80"/>
      </w:pPr>
      <w:r>
        <w:rPr>
          <w:b w:val="false"/>
          <w:bCs w:val="false"/>
        </w:rPr>
        <w:t xml:space="preserve">Karnataka BJP president B.Y. Vijayendra has publicly questioned the software charge's legal basis, cost breakup and accountability, calling on GBA for greater transparency.</w:t>
      </w:r>
    </w:p>
    <w:p>
      <w:pPr>
        <w:pStyle w:val="ListParagraph"/>
        <w:numPr>
          <w:ilvl w:val="0"/>
          <w:numId w:val="2"/>
        </w:numPr>
        <w:spacing w:after="80"/>
      </w:pPr>
      <w:r>
        <w:rPr>
          <w:b w:val="false"/>
          <w:bCs w:val="false"/>
        </w:rPr>
        <w:t xml:space="preserve">The Karnataka Greater Bengaluru Governance Act, 2024 gives city corporations powers to levy certain fees and user charges, though the specific authority for this new levy is still being examined — a compliance question CREDAI Karnataka members are likely tracking closely.</w:t>
      </w:r>
    </w:p>
    <w:p>
      <w:pPr>
        <w:spacing w:after="150"/>
      </w:pPr>
      <w:r>
        <w:rPr>
          <w:i/>
          <w:iCs/>
          <w:color w:val="595959"/>
          <w:sz w:val="18"/>
          <w:szCs w:val="18"/>
        </w:rPr>
        <w:t xml:space="preserve">Sources: Deccan Herald/Newskarnataka (GBA software charge controversy, Vijayendra's questions, Governance Act 2024 authority).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residential sales volumes fell around 13% in H1 2026 even as average ticket sizes crossed ₹2 crore (up 10% YoY), leaving the city with an inventory overhang of nearly 29 months.</w:t>
      </w:r>
    </w:p>
    <w:p>
      <w:pPr>
        <w:pStyle w:val="ListParagraph"/>
        <w:numPr>
          <w:ilvl w:val="0"/>
          <w:numId w:val="2"/>
        </w:numPr>
        <w:spacing w:after="80"/>
      </w:pPr>
      <w:r>
        <w:rPr>
          <w:b w:val="false"/>
          <w:bCs w:val="false"/>
        </w:rPr>
        <w:t xml:space="preserve">Kerala's residential market is entering a phase of sustainable growth, shaped by infrastructure development, strong NRI participation and rising homebuyer preference for integrated townships with clubhouses, fitness centres and co-working spaces.</w:t>
      </w:r>
    </w:p>
    <w:p>
      <w:pPr>
        <w:pStyle w:val="ListParagraph"/>
        <w:numPr>
          <w:ilvl w:val="0"/>
          <w:numId w:val="2"/>
        </w:numPr>
        <w:spacing w:after="80"/>
      </w:pPr>
      <w:r>
        <w:rPr>
          <w:b w:val="false"/>
          <w:bCs w:val="false"/>
        </w:rPr>
        <w:t xml:space="preserve">Telangana's plan to merge 27 urban bodies into GHMC could catapult Hyderabad into the world's top megacities by population, a restructuring expected to reshape residential demand patterns across the metro.</w:t>
      </w:r>
    </w:p>
    <w:p>
      <w:pPr>
        <w:spacing w:after="150"/>
      </w:pPr>
      <w:r>
        <w:rPr>
          <w:i/>
          <w:iCs/>
          <w:color w:val="595959"/>
          <w:sz w:val="18"/>
          <w:szCs w:val="18"/>
        </w:rPr>
        <w:t xml:space="preserve">Sources: Great Andhra (Hyderabad sales decline, inventory overhang); Kerala Real Estate/IndiaRAM (Kerala 2026 growth drivers, township demand); Wikipedia (Telangana GHMC merger plan).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Telangana's building-rule amendments — additional floors, setback relaxations and expanded TDR usage — remain aimed at reviving Hyderabad's real estate growth even as the 29-month residential inventory overhang persists.</w:t>
      </w:r>
    </w:p>
    <w:p>
      <w:pPr>
        <w:pStyle w:val="ListParagraph"/>
        <w:numPr>
          <w:ilvl w:val="0"/>
          <w:numId w:val="2"/>
        </w:numPr>
        <w:spacing w:after="80"/>
      </w:pPr>
      <w:r>
        <w:rPr>
          <w:b w:val="false"/>
          <w:bCs w:val="false"/>
        </w:rPr>
        <w:t xml:space="preserve">Kerala homebuyers' shift toward integrated townships is spurring developers statewide to add clubhouse, co-working and enhanced-security commercial components to new residential launches.</w:t>
      </w:r>
    </w:p>
    <w:p>
      <w:pPr>
        <w:pStyle w:val="ListParagraph"/>
        <w:numPr>
          <w:ilvl w:val="0"/>
          <w:numId w:val="2"/>
        </w:numPr>
        <w:spacing w:after="80"/>
      </w:pPr>
      <w:r>
        <w:rPr>
          <w:b w:val="false"/>
          <w:bCs w:val="false"/>
        </w:rPr>
        <w:t xml:space="preserve">Hyderabad's proposed GHMC mega-merger of 27 urban bodies is expected to expand the commercial and civic-infrastructure footprint requiring servicing across a much larger metropolitan area.</w:t>
      </w:r>
    </w:p>
    <w:p>
      <w:pPr>
        <w:spacing w:after="150"/>
      </w:pPr>
      <w:r>
        <w:rPr>
          <w:i/>
          <w:iCs/>
          <w:color w:val="595959"/>
          <w:sz w:val="18"/>
          <w:szCs w:val="18"/>
        </w:rPr>
        <w:t xml:space="preserve">Sources: Great Andhra; Kerala Real Estate/IndiaRAM; Wikipedia (GHMC merger plan).</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watching Hyderabad's 29-month inventory overhang closely, weighing whether further building-rule relaxations are needed to help clear the backlog.</w:t>
      </w:r>
    </w:p>
    <w:p>
      <w:pPr>
        <w:pStyle w:val="ListParagraph"/>
        <w:numPr>
          <w:ilvl w:val="0"/>
          <w:numId w:val="2"/>
        </w:numPr>
        <w:spacing w:after="80"/>
      </w:pPr>
      <w:r>
        <w:rPr>
          <w:b w:val="false"/>
          <w:bCs w:val="false"/>
        </w:rPr>
        <w:t xml:space="preserve">TG-RERA's oversight scope could expand significantly if the proposed GHMC mega-merger proceeds, bringing a far larger urban footprint under unified regulatory purview.</w:t>
      </w:r>
    </w:p>
    <w:p>
      <w:pPr>
        <w:pStyle w:val="ListParagraph"/>
        <w:numPr>
          <w:ilvl w:val="0"/>
          <w:numId w:val="2"/>
        </w:numPr>
        <w:spacing w:after="80"/>
      </w:pPr>
      <w:r>
        <w:rPr>
          <w:b w:val="false"/>
          <w:bCs w:val="false"/>
        </w:rPr>
        <w:t xml:space="preserve">CREDAI Kerala continues to track rising NRI-driven demand for integrated, amenity-rich townships as a key growth driver for the state's residential registration pipeline.</w:t>
      </w:r>
    </w:p>
    <w:p>
      <w:pPr>
        <w:spacing w:after="150"/>
      </w:pPr>
      <w:r>
        <w:rPr>
          <w:i/>
          <w:iCs/>
          <w:color w:val="595959"/>
          <w:sz w:val="18"/>
          <w:szCs w:val="18"/>
        </w:rPr>
        <w:t xml:space="preserve">Sources: Great Andhra; Wikipedia (GHMC merger plan); Kerala Real Estate/IndiaRAM.</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real estate sector highlighted branded residences and institutional capital as key future growth engines at the EXCELERATE 2026 industry summit, signalling a structural shift in how premium residential product is developed and financed nationally.</w:t>
      </w:r>
    </w:p>
    <w:p>
      <w:pPr>
        <w:pStyle w:val="ListParagraph"/>
        <w:numPr>
          <w:ilvl w:val="0"/>
          <w:numId w:val="2"/>
        </w:numPr>
        <w:spacing w:after="80"/>
      </w:pPr>
      <w:r>
        <w:rPr>
          <w:b w:val="false"/>
          <w:bCs w:val="false"/>
        </w:rPr>
        <w:t xml:space="preserve">Alternative asset classes — data centres, co-living, senior living, student housing and life sciences real estate — are drawing rising institutional interest amid digital adoption and demographic shifts, even as traditional housing remains the base of overall national demand.</w:t>
      </w:r>
    </w:p>
    <w:p>
      <w:pPr>
        <w:pStyle w:val="ListParagraph"/>
        <w:numPr>
          <w:ilvl w:val="0"/>
          <w:numId w:val="2"/>
        </w:numPr>
        <w:spacing w:after="80"/>
      </w:pPr>
      <w:r>
        <w:rPr>
          <w:b w:val="false"/>
          <w:bCs w:val="false"/>
        </w:rPr>
        <w:t xml:space="preserve">Continued urban infrastructure expansion — exemplified by Bengaluru's new Blue Line airport metro corridor and Hyderabad's proposed GHMC mega-merger — continues to reshape residential demand patterns across India's largest metros.</w:t>
      </w:r>
    </w:p>
    <w:p>
      <w:pPr>
        <w:spacing w:after="150"/>
      </w:pPr>
      <w:r>
        <w:rPr>
          <w:i/>
          <w:iCs/>
          <w:color w:val="595959"/>
          <w:sz w:val="18"/>
          <w:szCs w:val="18"/>
        </w:rPr>
        <w:t xml:space="preserve">Sources: Business News This Week (EXCELERATE 2026, branded residences); Colliers/Dailypioneer (alternative asset class institutional interest).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Data centres attracted 38% of all private equity inflows into Indian real estate in Q2 2026, overtaking office assets as the leading segment for institutional investment for the first time in a decade.</w:t>
      </w:r>
    </w:p>
    <w:p>
      <w:pPr>
        <w:pStyle w:val="ListParagraph"/>
        <w:numPr>
          <w:ilvl w:val="0"/>
          <w:numId w:val="2"/>
        </w:numPr>
        <w:spacing w:after="80"/>
      </w:pPr>
      <w:r>
        <w:rPr>
          <w:b w:val="false"/>
          <w:bCs w:val="false"/>
        </w:rPr>
        <w:t xml:space="preserve">SEBI's SM-REIT framework, introduced with a ₹10 lakh minimum investment threshold, is expected to unlock a monetisation opportunity of ₹67,000-71,000 crore, broadening access to institutional-grade real estate for a wider investor base.</w:t>
      </w:r>
    </w:p>
    <w:p>
      <w:pPr>
        <w:pStyle w:val="ListParagraph"/>
        <w:numPr>
          <w:ilvl w:val="0"/>
          <w:numId w:val="2"/>
        </w:numPr>
        <w:spacing w:after="80"/>
      </w:pPr>
      <w:r>
        <w:rPr>
          <w:b w:val="false"/>
          <w:bCs w:val="false"/>
        </w:rPr>
        <w:t xml:space="preserve">Alternative asset classes — co-living, senior living, student housing and life sciences real estate — are gradually gaining institutional traction, albeit from a relatively small base, alongside the established office and data-centre segments.</w:t>
      </w:r>
    </w:p>
    <w:p>
      <w:pPr>
        <w:spacing w:after="150"/>
      </w:pPr>
      <w:r>
        <w:rPr>
          <w:i/>
          <w:iCs/>
          <w:color w:val="595959"/>
          <w:sz w:val="18"/>
          <w:szCs w:val="18"/>
        </w:rPr>
        <w:t xml:space="preserve">Sources: SquareYards (data centre PE inflows, Q2 2026); Real News of India (SEBI SM-REIT framework, monetisation opportunity); Colliers/Dailypioneer.</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the rapid growth of SM-REITs and data-centre investment as evidence of deepening institutional participation across India's real estate sector.</w:t>
      </w:r>
    </w:p>
    <w:p>
      <w:pPr>
        <w:pStyle w:val="ListParagraph"/>
        <w:numPr>
          <w:ilvl w:val="0"/>
          <w:numId w:val="2"/>
        </w:numPr>
        <w:spacing w:after="80"/>
      </w:pPr>
      <w:r>
        <w:rPr>
          <w:b w:val="false"/>
          <w:bCs w:val="false"/>
        </w:rPr>
        <w:t xml:space="preserve">EXCELERATE 2026's focus on branded residences and institutional capital signals a shift developers nationally are expected to align new project registrations toward, particularly in the premium segment.</w:t>
      </w:r>
    </w:p>
    <w:p>
      <w:pPr>
        <w:pStyle w:val="ListParagraph"/>
        <w:numPr>
          <w:ilvl w:val="0"/>
          <w:numId w:val="2"/>
        </w:numPr>
        <w:spacing w:after="80"/>
      </w:pPr>
      <w:r>
        <w:rPr>
          <w:b w:val="false"/>
          <w:bCs w:val="false"/>
        </w:rPr>
        <w:t xml:space="preserve">Karnataka's new GBA "software charge" controversy is likely to be watched by CREDAI chapters nationally as a case study in balancing municipal revenue needs against homeowner and developer transparency expectations.</w:t>
      </w:r>
    </w:p>
    <w:p>
      <w:pPr>
        <w:spacing w:after="150"/>
      </w:pPr>
      <w:r>
        <w:rPr>
          <w:i/>
          <w:iCs/>
          <w:color w:val="595959"/>
          <w:sz w:val="18"/>
          <w:szCs w:val="18"/>
        </w:rPr>
        <w:t xml:space="preserve">Sources: Business News This Week; Real News of India; Deccan Herald/Newskarnataka (GBA software charge).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2026-09-26T03:37:55.361Z</dcterms:created>
  <dcterms:modified xsi:type="dcterms:W3CDTF">2026-09-26T03:37:55.375Z</dcterms:modified>
</cp:coreProperties>
</file>

<file path=docProps/custom.xml><?xml version="1.0" encoding="utf-8"?>
<Properties xmlns="http://schemas.openxmlformats.org/officeDocument/2006/custom-properties" xmlns:vt="http://schemas.openxmlformats.org/officeDocument/2006/docPropsVTypes"/>
</file>