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Tuesday, 18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HSR Layout continues to command premium pricing (average ₹9,160 per sq ft), with 2 BHK units ranging ₹65.4 lakh–2.17 crore and 3 BHK units ₹91.2 lakh–4.8 crore, reflecting the corridor's status as one of Bengaluru's most sought-after startup-adjacent residential markets.</w:t>
      </w:r>
    </w:p>
    <w:p>
      <w:pPr>
        <w:pStyle w:val="ListParagraph"/>
        <w:numPr>
          <w:ilvl w:val="0"/>
          <w:numId w:val="2"/>
        </w:numPr>
        <w:spacing w:after="80"/>
      </w:pPr>
      <w:r>
        <w:rPr>
          <w:b w:val="false"/>
          <w:bCs w:val="false"/>
        </w:rPr>
        <w:t xml:space="preserve">The Blue Line metro's HSR Layout station is expected to open by December 2026, adding to the Yellow Line connectivity (operational since August 2025) that already links HSR to Central Silk Board and the wider metro network.</w:t>
      </w:r>
    </w:p>
    <w:p>
      <w:pPr>
        <w:pStyle w:val="ListParagraph"/>
        <w:numPr>
          <w:ilvl w:val="0"/>
          <w:numId w:val="2"/>
        </w:numPr>
        <w:spacing w:after="80"/>
      </w:pPr>
      <w:r>
        <w:rPr>
          <w:b w:val="false"/>
          <w:bCs w:val="false"/>
        </w:rPr>
        <w:t xml:space="preserve">Koramangala, Indiranagar and HSR Layout remain strongholds for mid-to-luxury segment tenants, with limited inventory continuing to push prices upward across all three established corridors.</w:t>
      </w:r>
    </w:p>
    <w:p>
      <w:pPr>
        <w:spacing w:after="150"/>
      </w:pPr>
      <w:r>
        <w:rPr>
          <w:i/>
          <w:iCs/>
          <w:color w:val="595959"/>
          <w:sz w:val="18"/>
          <w:szCs w:val="18"/>
        </w:rPr>
        <w:t xml:space="preserve">Sources: NoBroker/Ghar.tv (HSR Layout pricing); Prestige Severgrove/Wikipedia (Blue Line HSR station, Yellow Line status); Sobha (Koramangala/HSR/Indiranagar demand).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CREDAI Bengaluru has submitted a memorandum to the state government, in a meeting led by Deputy CM DK Shivakumar, pushing for premium Floor Area Ratio (FAR) rules that would let developers build taller towers instead of relying solely on Transferable Development Rights (TDR) for additional floors.</w:t>
      </w:r>
    </w:p>
    <w:p>
      <w:pPr>
        <w:pStyle w:val="ListParagraph"/>
        <w:numPr>
          <w:ilvl w:val="0"/>
          <w:numId w:val="2"/>
        </w:numPr>
        <w:spacing w:after="80"/>
      </w:pPr>
      <w:r>
        <w:rPr>
          <w:b w:val="false"/>
          <w:bCs w:val="false"/>
        </w:rPr>
        <w:t xml:space="preserve">The draft Karnataka Planning Authorities (Amendment) Rules, introduced in March, remain pending the Governor's clearance six months on, stalling Bengaluru developers' push for greater vertical-development leeway.</w:t>
      </w:r>
    </w:p>
    <w:p>
      <w:pPr>
        <w:pStyle w:val="ListParagraph"/>
        <w:numPr>
          <w:ilvl w:val="0"/>
          <w:numId w:val="2"/>
        </w:numPr>
        <w:spacing w:after="80"/>
      </w:pPr>
      <w:r>
        <w:rPr>
          <w:b w:val="false"/>
          <w:bCs w:val="false"/>
        </w:rPr>
        <w:t xml:space="preserve">Enzyme Office Spaces has expanded its Bengaluru footprint, leasing approximately 3.5 lakh sq ft of office space across key micro-markets including HSR Layout, with plans to develop around 5,000 seats within these centres.</w:t>
      </w:r>
    </w:p>
    <w:p>
      <w:pPr>
        <w:spacing w:after="150"/>
      </w:pPr>
      <w:r>
        <w:rPr>
          <w:i/>
          <w:iCs/>
          <w:color w:val="595959"/>
          <w:sz w:val="18"/>
          <w:szCs w:val="18"/>
        </w:rPr>
        <w:t xml:space="preserve">Sources: Deccan Herald (CREDAI Bengaluru FAR memorandum, draft Planning Authorities Rules); PropNewsTime (Enzyme Office Spaces leasing).</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Bengaluru President Amar Mysore has argued that "vertical development is the only way to go forward for any urban city," pointing to Hyderabad's 50–60 floor towers as a benchmark Bengaluru should match once premium-FAR rules are cleared.</w:t>
      </w:r>
    </w:p>
    <w:p>
      <w:pPr>
        <w:pStyle w:val="ListParagraph"/>
        <w:numPr>
          <w:ilvl w:val="0"/>
          <w:numId w:val="2"/>
        </w:numPr>
        <w:spacing w:after="80"/>
      </w:pPr>
      <w:r>
        <w:rPr>
          <w:b w:val="false"/>
          <w:bCs w:val="false"/>
        </w:rPr>
        <w:t xml:space="preserve">Bengaluru's residential FSI currently ranges 1.5–2.75 (up to 4 in commercial zones) under BBMP and BDA norms, a ceiling CREDAI Bengaluru is actively lobbying to raise through the pending Planning Authorities Amendment Rules.</w:t>
      </w:r>
    </w:p>
    <w:p>
      <w:pPr>
        <w:pStyle w:val="ListParagraph"/>
        <w:numPr>
          <w:ilvl w:val="0"/>
          <w:numId w:val="2"/>
        </w:numPr>
        <w:spacing w:after="80"/>
      </w:pPr>
      <w:r>
        <w:rPr>
          <w:b w:val="false"/>
          <w:bCs w:val="false"/>
        </w:rPr>
        <w:t xml:space="preserve">K-RERA continues to operate without a permanent chairman following H.C. Kishore Chandra's retirement, even as CREDAI Bengaluru pushes multiple parallel regulatory asks — premium FAR, e-Khata processing and GBA implementation — with the state government.</w:t>
      </w:r>
    </w:p>
    <w:p>
      <w:pPr>
        <w:spacing w:after="150"/>
      </w:pPr>
      <w:r>
        <w:rPr>
          <w:i/>
          <w:iCs/>
          <w:color w:val="595959"/>
          <w:sz w:val="18"/>
          <w:szCs w:val="18"/>
        </w:rPr>
        <w:t xml:space="preserve">Sources: Deccan Herald (Amar Mysore comments, FSI norms, K-RERA chairman vacancy).</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Chennai's real estate sector attracted USD 155 million in private equity funding in H1 2026, positioning the city among India's leading destinations for institutional real estate investment.</w:t>
      </w:r>
    </w:p>
    <w:p>
      <w:pPr>
        <w:pStyle w:val="ListParagraph"/>
        <w:numPr>
          <w:ilvl w:val="0"/>
          <w:numId w:val="2"/>
        </w:numPr>
        <w:spacing w:after="80"/>
      </w:pPr>
      <w:r>
        <w:rPr>
          <w:b w:val="false"/>
          <w:bCs w:val="false"/>
        </w:rPr>
        <w:t xml:space="preserve">Institutional capital is accelerating into Chennai real estate, with industry leaders at the GRI Institute's Chennai Real Estate 2026 roundtable highlighting increasing capital availability for high-quality residential and mixed-use projects.</w:t>
      </w:r>
    </w:p>
    <w:p>
      <w:pPr>
        <w:pStyle w:val="ListParagraph"/>
        <w:numPr>
          <w:ilvl w:val="0"/>
          <w:numId w:val="2"/>
        </w:numPr>
        <w:spacing w:after="80"/>
      </w:pPr>
      <w:r>
        <w:rPr>
          <w:b w:val="false"/>
          <w:bCs w:val="false"/>
        </w:rPr>
        <w:t xml:space="preserve">Hyderabad's core residential pricing remains firm despite market-slowdown narratives, with experts projecting 10–15% price growth in 2026 as projects with superior location and connectivity continue to command a premium.</w:t>
      </w:r>
    </w:p>
    <w:p>
      <w:pPr>
        <w:spacing w:after="150"/>
      </w:pPr>
      <w:r>
        <w:rPr>
          <w:i/>
          <w:iCs/>
          <w:color w:val="595959"/>
          <w:sz w:val="18"/>
          <w:szCs w:val="18"/>
        </w:rPr>
        <w:t xml:space="preserve">Sources: GRI Hub/PropNewsTime (Chennai PE funding, institutional capital); TeluguTimes (Hyderabad price outlook).</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real estate sector attracted USD 2.9 billion in institutional investment in Q2 2026, with Chennai and Bengaluru together driving 27% of total inflows — underscoring South India's growing share of the country's commercial real estate capital.</w:t>
      </w:r>
    </w:p>
    <w:p>
      <w:pPr>
        <w:pStyle w:val="ListParagraph"/>
        <w:numPr>
          <w:ilvl w:val="0"/>
          <w:numId w:val="2"/>
        </w:numPr>
        <w:spacing w:after="80"/>
      </w:pPr>
      <w:r>
        <w:rPr>
          <w:b w:val="false"/>
          <w:bCs w:val="false"/>
        </w:rPr>
        <w:t xml:space="preserve">PE firm Milestone Capital Advisors is raising a ₹500 crore (~$60 million) structured debt fund targeting real estate projects across five metro cities including Chennai, reflecting continued debt-capital appetite for South Indian developments.</w:t>
      </w:r>
    </w:p>
    <w:p>
      <w:pPr>
        <w:pStyle w:val="ListParagraph"/>
        <w:numPr>
          <w:ilvl w:val="0"/>
          <w:numId w:val="2"/>
        </w:numPr>
        <w:spacing w:after="80"/>
      </w:pPr>
      <w:r>
        <w:rPr>
          <w:b w:val="false"/>
          <w:bCs w:val="false"/>
        </w:rPr>
        <w:t xml:space="preserve">Hyderabad Metro Phase 2 (airport-Old City connectivity) and the Regional Ring Road's southern stretch continue to anchor the city's long-term commercial and industrial growth corridors.</w:t>
      </w:r>
    </w:p>
    <w:p>
      <w:pPr>
        <w:spacing w:after="150"/>
      </w:pPr>
      <w:r>
        <w:rPr>
          <w:i/>
          <w:iCs/>
          <w:color w:val="595959"/>
          <w:sz w:val="18"/>
          <w:szCs w:val="18"/>
        </w:rPr>
        <w:t xml:space="preserve">Sources: PropNewsTime (Q2 2026 institutional investment); Business Standard (Milestone Capital fund); Charan Group Updates (Hyderabad Metro Phase 2, Regional Ring Road).</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 following TNRERA's formal circular earlier this month.</w:t>
      </w:r>
    </w:p>
    <w:p>
      <w:pPr>
        <w:pStyle w:val="ListParagraph"/>
        <w:numPr>
          <w:ilvl w:val="0"/>
          <w:numId w:val="2"/>
        </w:numPr>
        <w:spacing w:after="80"/>
      </w:pPr>
      <w:r>
        <w:rPr>
          <w:b w:val="false"/>
          <w:bCs w:val="false"/>
        </w:rPr>
        <w:t xml:space="preserve">Telangana's recently amended building rules — additional floors, setback relaxations and expanded TDR usage — mirror CREDAI Bengaluru's parallel push for premium-FAR relief in Karnataka, reflecting a broader South Indian developer push for vertical-development flexibility.</w:t>
      </w:r>
    </w:p>
    <w:p>
      <w:pPr>
        <w:pStyle w:val="ListParagraph"/>
        <w:numPr>
          <w:ilvl w:val="0"/>
          <w:numId w:val="2"/>
        </w:numPr>
        <w:spacing w:after="80"/>
      </w:pPr>
      <w:r>
        <w:rPr>
          <w:b w:val="false"/>
          <w:bCs w:val="false"/>
        </w:rPr>
        <w:t xml:space="preserve">Rising institutional and PE interest in Chennai (USD 155 million H1 2026) is expected to strengthen CREDAI Tamil Nadu's case for continued regulatory support as capital inflows into the state's real estate sector accelerate.</w:t>
      </w:r>
    </w:p>
    <w:p>
      <w:pPr>
        <w:spacing w:after="150"/>
      </w:pPr>
      <w:r>
        <w:rPr>
          <w:i/>
          <w:iCs/>
          <w:color w:val="595959"/>
          <w:sz w:val="18"/>
          <w:szCs w:val="18"/>
        </w:rPr>
        <w:t xml:space="preserve">Sources: Business Standard (MoHUA advisory); Charan Group Updates (Telangana building rules); GRI Hub/PropNewsTime.</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HSR Layout and Chennai's institutional-capital-driven residential growth illustrate how India's leading southern IT hubs continue to command premium pricing and investor confidence even as national growth moderates.</w:t>
      </w:r>
    </w:p>
    <w:p>
      <w:pPr>
        <w:pStyle w:val="ListParagraph"/>
        <w:numPr>
          <w:ilvl w:val="0"/>
          <w:numId w:val="2"/>
        </w:numPr>
        <w:spacing w:after="80"/>
      </w:pPr>
      <w:r>
        <w:rPr>
          <w:b w:val="false"/>
          <w:bCs w:val="false"/>
        </w:rPr>
        <w:t xml:space="preserve">CREDAI Bengaluru's push for premium-FAR vertical-development rules, echoing similar building-rule liberalisation already implemented in Telangana, signals a broader national trend of states and developer bodies seeking greater density flexibility in supply-constrained cities.</w:t>
      </w:r>
    </w:p>
    <w:p>
      <w:pPr>
        <w:pStyle w:val="ListParagraph"/>
        <w:numPr>
          <w:ilvl w:val="0"/>
          <w:numId w:val="2"/>
        </w:numPr>
        <w:spacing w:after="80"/>
      </w:pPr>
      <w:r>
        <w:rPr>
          <w:b w:val="false"/>
          <w:bCs w:val="false"/>
        </w:rPr>
        <w:t xml:space="preserve">Continued metro and transit expansion — Bengaluru's Blue Line HSR station, Hyderabad's Metro Phase 2 — remains a key structural driver of national residential demand in transit-linked corridors.</w:t>
      </w:r>
    </w:p>
    <w:p>
      <w:pPr>
        <w:spacing w:after="150"/>
      </w:pPr>
      <w:r>
        <w:rPr>
          <w:i/>
          <w:iCs/>
          <w:color w:val="595959"/>
          <w:sz w:val="18"/>
          <w:szCs w:val="18"/>
        </w:rPr>
        <w:t xml:space="preserve">Sources: Deccan Herald; Charan Group Updates; NoBroker/Ghar.tv.</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real estate sector attracted USD 2.9 billion in institutional investment in Q2 2026, with Chennai and Bengaluru together accounting for 27% of inflows — reinforcing South India's growing centrality to the national commercial real estate investment story.</w:t>
      </w:r>
    </w:p>
    <w:p>
      <w:pPr>
        <w:pStyle w:val="ListParagraph"/>
        <w:numPr>
          <w:ilvl w:val="0"/>
          <w:numId w:val="2"/>
        </w:numPr>
        <w:spacing w:after="80"/>
      </w:pPr>
      <w:r>
        <w:rPr>
          <w:b w:val="false"/>
          <w:bCs w:val="false"/>
        </w:rPr>
        <w:t xml:space="preserve">Flexible workspace and managed-office expansion continues nationally, exemplified by Enzyme Office Spaces' 3.5 lakh sq ft Bengaluru leasing push and similar operator-led growth in other metros.</w:t>
      </w:r>
    </w:p>
    <w:p>
      <w:pPr>
        <w:pStyle w:val="ListParagraph"/>
        <w:numPr>
          <w:ilvl w:val="0"/>
          <w:numId w:val="2"/>
        </w:numPr>
        <w:spacing w:after="80"/>
      </w:pPr>
      <w:r>
        <w:rPr>
          <w:b w:val="false"/>
          <w:bCs w:val="false"/>
        </w:rPr>
        <w:t xml:space="preserve">PE and structured-debt funds like Milestone Capital's ₹500 crore vehicle continue to target real estate projects across India's top five metros, reflecting sustained institutional capital appetite for both equity and debt real estate strategies nationally.</w:t>
      </w:r>
    </w:p>
    <w:p>
      <w:pPr>
        <w:spacing w:after="150"/>
      </w:pPr>
      <w:r>
        <w:rPr>
          <w:i/>
          <w:iCs/>
          <w:color w:val="595959"/>
          <w:sz w:val="18"/>
          <w:szCs w:val="18"/>
        </w:rPr>
        <w:t xml:space="preserve">Sources: PropNewsTime; PropNewsTime (Enzyme Office Spaces); Business Standard (Milestone Capital).</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at the state level following TNRERA's formal circular and similar actions by other state RERAs.</w:t>
      </w:r>
    </w:p>
    <w:p>
      <w:pPr>
        <w:pStyle w:val="ListParagraph"/>
        <w:numPr>
          <w:ilvl w:val="0"/>
          <w:numId w:val="2"/>
        </w:numPr>
        <w:spacing w:after="80"/>
      </w:pPr>
      <w:r>
        <w:rPr>
          <w:b w:val="false"/>
          <w:bCs w:val="false"/>
        </w:rPr>
        <w:t xml:space="preserve">CREDAI Bengaluru's premium-FAR advocacy — and its comparison to Hyderabad's already-liberalised building rules — reflects a broader national conversation among developer bodies about easing density restrictions to address urban housing supply constraints.</w:t>
      </w:r>
    </w:p>
    <w:p>
      <w:pPr>
        <w:pStyle w:val="ListParagraph"/>
        <w:numPr>
          <w:ilvl w:val="0"/>
          <w:numId w:val="2"/>
        </w:numPr>
        <w:spacing w:after="80"/>
      </w:pPr>
      <w:r>
        <w:rPr>
          <w:b w:val="false"/>
          <w:bCs w:val="false"/>
        </w:rPr>
        <w:t xml:space="preserve">Karnataka's ongoing K-RERA leadership vacancy remains a live governance discussion point for state regulators nationally, even as CREDAI chapters across states continue pressing parallel regulatory and building-rule reforms.</w:t>
      </w:r>
    </w:p>
    <w:p>
      <w:pPr>
        <w:spacing w:after="150"/>
      </w:pPr>
      <w:r>
        <w:rPr>
          <w:i/>
          <w:iCs/>
          <w:color w:val="595959"/>
          <w:sz w:val="18"/>
          <w:szCs w:val="18"/>
        </w:rPr>
        <w:t xml:space="preserve">Sources: Business Standard; Deccan Herald; Charan Group Updates.</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2026-08-18T03:40:09.136Z</dcterms:created>
  <dcterms:modified xsi:type="dcterms:W3CDTF">2026-08-18T03:40:09.136Z</dcterms:modified>
</cp:coreProperties>
</file>

<file path=docProps/custom.xml><?xml version="1.0" encoding="utf-8"?>
<Properties xmlns="http://schemas.openxmlformats.org/officeDocument/2006/custom-properties" xmlns:vt="http://schemas.openxmlformats.org/officeDocument/2006/docPropsVTypes"/>
</file>