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15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Bannerghatta Road's average pricing stands at roughly ₹11,845 per sq ft per Housing.com, up 19.01% over the past year, though an alternate estimate from Sobha/JLL Homes puts the corridor closer to ₹7,900-10,500 per sq ft, a sign of continued listing-vs-benchmark divergence.</w:t>
      </w:r>
    </w:p>
    <w:p>
      <w:pPr>
        <w:pStyle w:val="ListParagraph"/>
        <w:numPr>
          <w:ilvl w:val="0"/>
          <w:numId w:val="2"/>
        </w:numPr>
        <w:spacing w:after="80"/>
      </w:pPr>
      <w:r>
        <w:rPr>
          <w:b w:val="false"/>
          <w:bCs w:val="false"/>
        </w:rPr>
        <w:t xml:space="preserve">Hebbal averages around ₹7,951 per sq ft with rental yields of 3-5% per Housing.com, while a 2026 Puravankara guide names it pricier than neighbouring Jakkur among the city's affordable-to-mid micro-markets for buyers this year.</w:t>
      </w:r>
    </w:p>
    <w:p>
      <w:pPr>
        <w:pStyle w:val="ListParagraph"/>
        <w:numPr>
          <w:ilvl w:val="0"/>
          <w:numId w:val="2"/>
        </w:numPr>
        <w:spacing w:after="80"/>
      </w:pPr>
      <w:r>
        <w:rPr>
          <w:b w:val="false"/>
          <w:bCs w:val="false"/>
        </w:rPr>
        <w:t xml:space="preserve">Bannerghatta Road's cumulative five-year price growth has reached roughly 46% since 2020 per Sobha, reflecting sustained South Bengaluru demand even as pricing benchmarks across sources continue to diverge meaningfully.</w:t>
      </w:r>
    </w:p>
    <w:p>
      <w:pPr>
        <w:spacing w:after="150"/>
      </w:pPr>
      <w:r>
        <w:rPr>
          <w:i/>
          <w:iCs/>
          <w:color w:val="595959"/>
          <w:sz w:val="18"/>
          <w:szCs w:val="18"/>
        </w:rPr>
        <w:t xml:space="preserve">Sources: Housing.com (Bannerghatta Road, Hebbal pricing); Sobha/JLL Homes (Bannerghatta Road 5-year growth, alternate pricing); Puravankara (2026 affordable micro-market guide).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Bannerghatta Road continues to be promoted as a top investment corridor in South Bengaluru, with rental yields estimated at 5-7% per Ghar.tv, supported by continued connectivity and retail development along the stretch.</w:t>
      </w:r>
    </w:p>
    <w:p>
      <w:pPr>
        <w:pStyle w:val="ListParagraph"/>
        <w:numPr>
          <w:ilvl w:val="0"/>
          <w:numId w:val="2"/>
        </w:numPr>
        <w:spacing w:after="80"/>
      </w:pPr>
      <w:r>
        <w:rPr>
          <w:b w:val="false"/>
          <w:bCs w:val="false"/>
        </w:rPr>
        <w:t xml:space="preserve">Hebbal's positioning among 2026's budget-friendly micro-markets reflects continued investor interest in North Bengaluru's secondary corridors even as pricing growth there remains comparatively modest versus Bannerghatta Road.</w:t>
      </w:r>
    </w:p>
    <w:p>
      <w:pPr>
        <w:pStyle w:val="ListParagraph"/>
        <w:numPr>
          <w:ilvl w:val="0"/>
          <w:numId w:val="2"/>
        </w:numPr>
        <w:spacing w:after="80"/>
      </w:pPr>
      <w:r>
        <w:rPr>
          <w:b w:val="false"/>
          <w:bCs w:val="false"/>
        </w:rPr>
        <w:t xml:space="preserve">The wide pricing divergence across Bannerghatta Road and Hebbal data sources underscores the continued importance of cross-checking portal asking prices against registered Kaveri transaction data before underwriting deals in either corridor.</w:t>
      </w:r>
    </w:p>
    <w:p>
      <w:pPr>
        <w:spacing w:after="150"/>
      </w:pPr>
      <w:r>
        <w:rPr>
          <w:i/>
          <w:iCs/>
          <w:color w:val="595959"/>
          <w:sz w:val="18"/>
          <w:szCs w:val="18"/>
        </w:rPr>
        <w:t xml:space="preserve">Sources: Ghar.tv (Bannerghatta Road yields); Puravankara; Housing.com.</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Karnataka Real Estate Appellate Tribunal has ruled that the Bengaluru Development Authority qualifies as a "promoter" under RERA and must register its housing layouts, a landmark finding that homebuyer forums have cited in opposing BDA's separate bid for a RERA exemption.</w:t>
      </w:r>
    </w:p>
    <w:p>
      <w:pPr>
        <w:pStyle w:val="ListParagraph"/>
        <w:numPr>
          <w:ilvl w:val="0"/>
          <w:numId w:val="2"/>
        </w:numPr>
        <w:spacing w:after="80"/>
      </w:pPr>
      <w:r>
        <w:rPr>
          <w:b w:val="false"/>
          <w:bCs w:val="false"/>
        </w:rPr>
        <w:t xml:space="preserve">K-RERA ordered the BDA to pay roughly ₹22 lakh over delays at a Kengeri project (29 April 2026) and separately directed registration of the Gunjur housing project within 14 days (May 2026), continuing a pattern of enforcement against the statutory authority.</w:t>
      </w:r>
    </w:p>
    <w:p>
      <w:pPr>
        <w:pStyle w:val="ListParagraph"/>
        <w:numPr>
          <w:ilvl w:val="0"/>
          <w:numId w:val="2"/>
        </w:numPr>
        <w:spacing w:after="80"/>
      </w:pPr>
      <w:r>
        <w:rPr>
          <w:b w:val="false"/>
          <w:bCs w:val="false"/>
        </w:rPr>
        <w:t xml:space="preserve">CREDAI Karnataka members are likely to watch the BDA-RERA jurisdiction dispute closely, since a final ruling bringing all BDA layouts under RERA's promoter obligations would reshape disclosure and registration norms for public-authority housing projects statewide.</w:t>
      </w:r>
    </w:p>
    <w:p>
      <w:pPr>
        <w:spacing w:after="150"/>
      </w:pPr>
      <w:r>
        <w:rPr>
          <w:i/>
          <w:iCs/>
          <w:color w:val="595959"/>
          <w:sz w:val="18"/>
          <w:szCs w:val="18"/>
        </w:rPr>
        <w:t xml:space="preserve">Sources: Therealtytoday (BDA promoter ruling, Kengeri penalty, Gunjur registration order); Outlookmoney (homebuyer opposition to BDA RERA exemption bid).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Kochi flat prices range roughly ₹5,200-8,750 per sq ft across the city's main localities per a 28 September 2026 report, with Kakkanad's asking-price average near ₹6,150 per sq ft on property portals.</w:t>
      </w:r>
    </w:p>
    <w:p>
      <w:pPr>
        <w:pStyle w:val="ListParagraph"/>
        <w:numPr>
          <w:ilvl w:val="0"/>
          <w:numId w:val="2"/>
        </w:numPr>
        <w:spacing w:after="80"/>
      </w:pPr>
      <w:r>
        <w:rPr>
          <w:b w:val="false"/>
          <w:bCs w:val="false"/>
        </w:rPr>
        <w:t xml:space="preserve">Kerala's property registration cost structure remains among the highest in South India at 8% stamp duty plus 2% registration with no cap, effectively 10% of transaction value due on the registration date.</w:t>
      </w:r>
    </w:p>
    <w:p>
      <w:pPr>
        <w:pStyle w:val="ListParagraph"/>
        <w:numPr>
          <w:ilvl w:val="0"/>
          <w:numId w:val="2"/>
        </w:numPr>
        <w:spacing w:after="80"/>
      </w:pPr>
      <w:r>
        <w:rPr>
          <w:b w:val="false"/>
          <w:bCs w:val="false"/>
        </w:rPr>
        <w:t xml:space="preserve">Cushman &amp; Wakefield's Kochi MarketBeat report noted new residential launches being led by suburban markets through much of 2026, with capital values continuing to rise across key segments even as the overall pace of launches moderates.</w:t>
      </w:r>
    </w:p>
    <w:p>
      <w:pPr>
        <w:spacing w:after="150"/>
      </w:pPr>
      <w:r>
        <w:rPr>
          <w:i/>
          <w:iCs/>
          <w:color w:val="595959"/>
          <w:sz w:val="18"/>
          <w:szCs w:val="18"/>
        </w:rPr>
        <w:t xml:space="preserve">Sources: RealtyHunting (28 September 2026 Kochi pricing, stamp duty structure); Cushman &amp; Wakefield Kochi MarketBeat (launch and capital-value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Major national highway sections in Ernakulam district are nearing completion in 2026, with the high-profile Edappally Railway Overbridge recently cleared for its final construction phase, a connectivity catalyst for Kochi's eastern suburbs.</w:t>
      </w:r>
    </w:p>
    <w:p>
      <w:pPr>
        <w:pStyle w:val="ListParagraph"/>
        <w:numPr>
          <w:ilvl w:val="0"/>
          <w:numId w:val="2"/>
        </w:numPr>
        <w:spacing w:after="80"/>
      </w:pPr>
      <w:r>
        <w:rPr>
          <w:b w:val="false"/>
          <w:bCs w:val="false"/>
        </w:rPr>
        <w:t xml:space="preserve">Provident Housing's 2026-27 outlook flags a planned 300-acre Cyber Valley as part of Kochi Infopark's Phase III expansion, a large-scale IT infrastructure addition that would extend the corridor's job-led housing demand well beyond current boundaries.</w:t>
      </w:r>
    </w:p>
    <w:p>
      <w:pPr>
        <w:pStyle w:val="ListParagraph"/>
        <w:numPr>
          <w:ilvl w:val="0"/>
          <w:numId w:val="2"/>
        </w:numPr>
        <w:spacing w:after="80"/>
      </w:pPr>
      <w:r>
        <w:rPr>
          <w:b w:val="false"/>
          <w:bCs w:val="false"/>
        </w:rPr>
        <w:t xml:space="preserve">Kochi Metro's Phase II extension from JLN Stadium to Infopark has been revised toward an April 2027 rollout per recent developer-cited estimates, continuing the pattern of shifting timelines seen through 2026.</w:t>
      </w:r>
    </w:p>
    <w:p>
      <w:pPr>
        <w:spacing w:after="150"/>
      </w:pPr>
      <w:r>
        <w:rPr>
          <w:i/>
          <w:iCs/>
          <w:color w:val="595959"/>
          <w:sz w:val="18"/>
          <w:szCs w:val="18"/>
        </w:rPr>
        <w:t xml:space="preserve">Sources: Confident Group (NH 66/Edappally ROB progress); Provident Housing (Cyber Valley, Infopark Phase III); Sobha (Metro Phase II revised timeline).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K-RERA-verified project status remains a key buyer checkpoint in Kochi, with guidance stressing that purchasers confirm registration, approved project details and developer-declared completion tenure directly on the official K-RERA portal before signing.</w:t>
      </w:r>
    </w:p>
    <w:p>
      <w:pPr>
        <w:pStyle w:val="ListParagraph"/>
        <w:numPr>
          <w:ilvl w:val="0"/>
          <w:numId w:val="2"/>
        </w:numPr>
        <w:spacing w:after="80"/>
      </w:pPr>
      <w:r>
        <w:rPr>
          <w:b w:val="false"/>
          <w:bCs w:val="false"/>
        </w:rPr>
        <w:t xml:space="preserve">CREDAI Kerala is likely to view the Cyber Valley and Infopark Phase III pipeline, alongside continued highway and overbridge completions, as reinforcing long-term fundamentals for Kakkanad-corridor project registrations.</w:t>
      </w:r>
    </w:p>
    <w:p>
      <w:pPr>
        <w:pStyle w:val="ListParagraph"/>
        <w:numPr>
          <w:ilvl w:val="0"/>
          <w:numId w:val="2"/>
        </w:numPr>
        <w:spacing w:after="80"/>
      </w:pPr>
      <w:r>
        <w:rPr>
          <w:b w:val="false"/>
          <w:bCs w:val="false"/>
        </w:rPr>
        <w:t xml:space="preserve">With Metro Phase II timelines continuing to shift, CREDAI Kerala members are expected to remain cautious about explicitly tying new project marketing or registration timing to the corridor's connectivity milestones.</w:t>
      </w:r>
    </w:p>
    <w:p>
      <w:pPr>
        <w:spacing w:after="150"/>
      </w:pPr>
      <w:r>
        <w:rPr>
          <w:i/>
          <w:iCs/>
          <w:color w:val="595959"/>
          <w:sz w:val="18"/>
          <w:szCs w:val="18"/>
        </w:rPr>
        <w:t xml:space="preserve">Sources: Sobha (K-RERA verification guidance); Provident Housing; Confident Group.</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Liases Foras reported new housing launches jumped 7.6% in the September 2026 quarter nationally, pushing unsold inventory up 2.7% quarter-on-quarter to roughly 8,65,584 units across India's major markets.</w:t>
      </w:r>
    </w:p>
    <w:p>
      <w:pPr>
        <w:pStyle w:val="ListParagraph"/>
        <w:numPr>
          <w:ilvl w:val="0"/>
          <w:numId w:val="2"/>
        </w:numPr>
        <w:spacing w:after="80"/>
      </w:pPr>
      <w:r>
        <w:rPr>
          <w:b w:val="false"/>
          <w:bCs w:val="false"/>
        </w:rPr>
        <w:t xml:space="preserve">Homes priced above ₹1 crore continued to gain share of overall sales through the September quarter, per market commentary, even as the broader market absorbs record levels of unsold stock.</w:t>
      </w:r>
    </w:p>
    <w:p>
      <w:pPr>
        <w:pStyle w:val="ListParagraph"/>
        <w:numPr>
          <w:ilvl w:val="0"/>
          <w:numId w:val="2"/>
        </w:numPr>
        <w:spacing w:after="80"/>
      </w:pPr>
      <w:r>
        <w:rPr>
          <w:b w:val="false"/>
          <w:bCs w:val="false"/>
        </w:rPr>
        <w:t xml:space="preserve">Liases Foras flagged the West Asia crisis and a recent equity-market correction as risks to housing demand into year-end, cautioning that luxury-segment buyers in particular may turn more cautious amid the volatility.</w:t>
      </w:r>
    </w:p>
    <w:p>
      <w:pPr>
        <w:spacing w:after="150"/>
      </w:pPr>
      <w:r>
        <w:rPr>
          <w:i/>
          <w:iCs/>
          <w:color w:val="595959"/>
          <w:sz w:val="18"/>
          <w:szCs w:val="18"/>
        </w:rPr>
        <w:t xml:space="preserve">Sources: Moneylife/Liases Foras (September 2026 quarter launches, unsold inventory); market commentary on premium-segment share and macro risks.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New housing supply has now outpaced sales for a 16th consecutive quarter nationally per market trackers, a multi-year structural pattern that continues to build up unsold inventory even as headline sales volumes hold roughly steady.</w:t>
      </w:r>
    </w:p>
    <w:p>
      <w:pPr>
        <w:pStyle w:val="ListParagraph"/>
        <w:numPr>
          <w:ilvl w:val="0"/>
          <w:numId w:val="2"/>
        </w:numPr>
        <w:spacing w:after="80"/>
      </w:pPr>
      <w:r>
        <w:rPr>
          <w:b w:val="false"/>
          <w:bCs w:val="false"/>
        </w:rPr>
        <w:t xml:space="preserve">With unsold stock at an elevated 8,65,584 units, how effectively the festive season (Dussehra-Diwali) absorbs existing inventory is being watched as the key determinant of Q4 2026 momentum across major cities.</w:t>
      </w:r>
    </w:p>
    <w:p>
      <w:pPr>
        <w:pStyle w:val="ListParagraph"/>
        <w:numPr>
          <w:ilvl w:val="0"/>
          <w:numId w:val="2"/>
        </w:numPr>
        <w:spacing w:after="80"/>
      </w:pPr>
      <w:r>
        <w:rPr>
          <w:b w:val="false"/>
          <w:bCs w:val="false"/>
        </w:rPr>
        <w:t xml:space="preserve">Developers are reported to be increasingly tilting new launches toward the premium and luxury segments, where realisations are higher, even as affordable and mid-income supply growth lags behind.</w:t>
      </w:r>
    </w:p>
    <w:p>
      <w:pPr>
        <w:spacing w:after="150"/>
      </w:pPr>
      <w:r>
        <w:rPr>
          <w:i/>
          <w:iCs/>
          <w:color w:val="595959"/>
          <w:sz w:val="18"/>
          <w:szCs w:val="18"/>
        </w:rPr>
        <w:t xml:space="preserve">Sources: Moneylife/Liases Foras; therealtytoday (16-quarter launch-over-sales pattern).</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NAREDCO has recommended raising the income-tax deduction on home loan interest for self-occupied properties from ₹2 lakh to ₹5 lakh in the upcoming Union Budget, aiming to support affordability amid record unsold inventory levels.</w:t>
      </w:r>
    </w:p>
    <w:p>
      <w:pPr>
        <w:pStyle w:val="ListParagraph"/>
        <w:numPr>
          <w:ilvl w:val="0"/>
          <w:numId w:val="2"/>
        </w:numPr>
        <w:spacing w:after="80"/>
      </w:pPr>
      <w:r>
        <w:rPr>
          <w:b w:val="false"/>
          <w:bCs w:val="false"/>
        </w:rPr>
        <w:t xml:space="preserve">NAREDCO leadership has reportedly engaged the Ministry of Housing and Urban Affairs on regulatory frameworks and sector priorities, continuing the body's push for demand-side policy support alongside its tax-relief recommendation.</w:t>
      </w:r>
    </w:p>
    <w:p>
      <w:pPr>
        <w:pStyle w:val="ListParagraph"/>
        <w:numPr>
          <w:ilvl w:val="0"/>
          <w:numId w:val="2"/>
        </w:numPr>
        <w:spacing w:after="80"/>
      </w:pPr>
      <w:r>
        <w:rPr>
          <w:b w:val="false"/>
          <w:bCs w:val="false"/>
        </w:rPr>
        <w:t xml:space="preserve">With supply outpacing sales for a 16th straight quarter, CREDAI and NAREDCO are expected to keep pressing this tax-relief proposal as a lever to stimulate demand ahead of the festive season and into early 2027.</w:t>
      </w:r>
    </w:p>
    <w:p>
      <w:pPr>
        <w:spacing w:after="150"/>
      </w:pPr>
      <w:r>
        <w:rPr>
          <w:i/>
          <w:iCs/>
          <w:color w:val="595959"/>
          <w:sz w:val="18"/>
          <w:szCs w:val="18"/>
        </w:rPr>
        <w:t xml:space="preserve">Sources: Therealtytoday/NAREDCO (home loan interest deduction proposal); NAREDCO (Ministry of Housing engagement).</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2026-10-15T03:45:48.686Z</dcterms:created>
  <dcterms:modified xsi:type="dcterms:W3CDTF">2026-10-15T03:45:48.693Z</dcterms:modified>
</cp:coreProperties>
</file>

<file path=docProps/custom.xml><?xml version="1.0" encoding="utf-8"?>
<Properties xmlns="http://schemas.openxmlformats.org/officeDocument/2006/custom-properties" xmlns:vt="http://schemas.openxmlformats.org/officeDocument/2006/docPropsVTypes"/>
</file>