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Tuesday, 1 September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Bengaluru's residential rental market is now India's highest-inflation rental city, with rents up 8–15% YoY in 2026 — Sarjapur Road leading at roughly 15% and Whitefield close behind at 14%, the latter driven by the Purple Line metro extension.</w:t>
      </w:r>
    </w:p>
    <w:p>
      <w:pPr>
        <w:pStyle w:val="ListParagraph"/>
        <w:numPr>
          <w:ilvl w:val="0"/>
          <w:numId w:val="2"/>
        </w:numPr>
        <w:spacing w:after="80"/>
      </w:pPr>
      <w:r>
        <w:rPr>
          <w:b w:val="false"/>
          <w:bCs w:val="false"/>
        </w:rPr>
        <w:t xml:space="preserve">The city's rental economy is estimated at ₹60,000–70,000 crore annually in 2026, spanning 1.8–2 million rental households at an average blended rent of ~₹28,000 per month across key IT corridors, with continued in-migration of 3–4 lakh new residents a year sustaining demand.</w:t>
      </w:r>
    </w:p>
    <w:p>
      <w:pPr>
        <w:pStyle w:val="ListParagraph"/>
        <w:numPr>
          <w:ilvl w:val="0"/>
          <w:numId w:val="2"/>
        </w:numPr>
        <w:spacing w:after="80"/>
      </w:pPr>
      <w:r>
        <w:rPr>
          <w:b w:val="false"/>
          <w:bCs w:val="false"/>
        </w:rPr>
        <w:t xml:space="preserve">If the current 8–10% annual rental growth trend holds, Bengaluru's rental economy is projected to expand to ₹90,000 crore–₹1,05,000 crore by 2030, reinforcing rental yield as an increasingly important investment driver alongside capital appreciation.</w:t>
      </w:r>
    </w:p>
    <w:p>
      <w:pPr>
        <w:spacing w:after="150"/>
      </w:pPr>
      <w:r>
        <w:rPr>
          <w:i/>
          <w:iCs/>
          <w:color w:val="595959"/>
          <w:sz w:val="18"/>
          <w:szCs w:val="18"/>
        </w:rPr>
        <w:t xml:space="preserve">Sources: Proppy AI (Bengaluru rental growth 2026); NestrIQo (rental price trends by locality); Construction Week India (rental housing growth).</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Bengaluru recorded India's fastest prime office rent growth in Q1 2026 at 14% YoY — the fastest pace in the Asia-Pacific region, per Knight Frank — before moderating slightly to 10.7% YoY in Q2 2026, still the top rate among Indian cities.</w:t>
      </w:r>
    </w:p>
    <w:p>
      <w:pPr>
        <w:pStyle w:val="ListParagraph"/>
        <w:numPr>
          <w:ilvl w:val="0"/>
          <w:numId w:val="2"/>
        </w:numPr>
        <w:spacing w:after="80"/>
      </w:pPr>
      <w:r>
        <w:rPr>
          <w:b w:val="false"/>
          <w:bCs w:val="false"/>
        </w:rPr>
        <w:t xml:space="preserve">Sustained GCC-led office demand continues to underpin this rental momentum, with occupiers absorbing large-format Grade-A space even as overall city-wide leasing volumes normalise from record 2025 highs.</w:t>
      </w:r>
    </w:p>
    <w:p>
      <w:pPr>
        <w:pStyle w:val="ListParagraph"/>
        <w:numPr>
          <w:ilvl w:val="0"/>
          <w:numId w:val="2"/>
        </w:numPr>
        <w:spacing w:after="80"/>
      </w:pPr>
      <w:r>
        <w:rPr>
          <w:b w:val="false"/>
          <w:bCs w:val="false"/>
        </w:rPr>
        <w:t xml:space="preserve">The gap between Bengaluru's office rental growth and other Indian metros is widening, reinforcing the city's position as the country's tightest and most sought-after commercial office market.</w:t>
      </w:r>
    </w:p>
    <w:p>
      <w:pPr>
        <w:spacing w:after="150"/>
      </w:pPr>
      <w:r>
        <w:rPr>
          <w:i/>
          <w:iCs/>
          <w:color w:val="595959"/>
          <w:sz w:val="18"/>
          <w:szCs w:val="18"/>
        </w:rPr>
        <w:t xml:space="preserve">Sources: Knight Frank via OpenTheMagazine (Q1 2026 rent growth); Business Standard (Q2 2026 prime office rent growth).</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K-RERA is rolling out new digital tools and an automated complaint-redressal mechanism through 2026, aimed at streamlining case processing and improving transparency for homebuyers navigating the regulator's dispute-resolution system.</w:t>
      </w:r>
    </w:p>
    <w:p>
      <w:pPr>
        <w:pStyle w:val="ListParagraph"/>
        <w:numPr>
          <w:ilvl w:val="0"/>
          <w:numId w:val="2"/>
        </w:numPr>
        <w:spacing w:after="80"/>
      </w:pPr>
      <w:r>
        <w:rPr>
          <w:b w:val="false"/>
          <w:bCs w:val="false"/>
        </w:rPr>
        <w:t xml:space="preserve">CREDAI Karnataka continues to circulate updated RERA compliance guidance to member developers via its official RERA circular channel, keeping pace with the regulator's tightening enforcement posture through the year.</w:t>
      </w:r>
    </w:p>
    <w:p>
      <w:pPr>
        <w:pStyle w:val="ListParagraph"/>
        <w:numPr>
          <w:ilvl w:val="0"/>
          <w:numId w:val="2"/>
        </w:numPr>
        <w:spacing w:after="80"/>
      </w:pPr>
      <w:r>
        <w:rPr>
          <w:b w:val="false"/>
          <w:bCs w:val="false"/>
        </w:rPr>
        <w:t xml:space="preserve">The combination of digital-first grievance redressal and continued enforcement scrutiny signals a maturing regulatory environment in Karnataka, even as the state's rental and office markets post some of the country's strongest growth rates.</w:t>
      </w:r>
    </w:p>
    <w:p>
      <w:pPr>
        <w:spacing w:after="150"/>
      </w:pPr>
      <w:r>
        <w:rPr>
          <w:i/>
          <w:iCs/>
          <w:color w:val="595959"/>
          <w:sz w:val="18"/>
          <w:szCs w:val="18"/>
        </w:rPr>
        <w:t xml:space="preserve">Sources: RERAFiling.com (K-RERA digital tools, automated redressal); CREDAI Karnataka official RERA circular page.</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Hyderabad closed out its latest reporting year with unsold inventory of 54,878 homes, giving buyers considerably more leverage and choice even as brokers describe the underlying market as "calm but strong" rather than in decline.</w:t>
      </w:r>
    </w:p>
    <w:p>
      <w:pPr>
        <w:pStyle w:val="ListParagraph"/>
        <w:numPr>
          <w:ilvl w:val="0"/>
          <w:numId w:val="2"/>
        </w:numPr>
        <w:spacing w:after="80"/>
      </w:pPr>
      <w:r>
        <w:rPr>
          <w:b w:val="false"/>
          <w:bCs w:val="false"/>
        </w:rPr>
        <w:t xml:space="preserve">Core, well-connected Hyderabad micro-markets continue to hold pricing firm, with the era of rapid double-digit price hikes described as over — projects with superior location and connectivity are the ones still commanding premiums in an otherwise steadier market.</w:t>
      </w:r>
    </w:p>
    <w:p>
      <w:pPr>
        <w:pStyle w:val="ListParagraph"/>
        <w:numPr>
          <w:ilvl w:val="0"/>
          <w:numId w:val="2"/>
        </w:numPr>
        <w:spacing w:after="80"/>
      </w:pPr>
      <w:r>
        <w:rPr>
          <w:b w:val="false"/>
          <w:bCs w:val="false"/>
        </w:rPr>
        <w:t xml:space="preserve">The Centre has taken up development of the 182-km southern stretch of Hyderabad's Regional Ring Road (Choutuppal to Sangareddy via Ibrahimpatnam, Kandukur, Amangal, Chevella and Shankarpally), with the DPR under preparation and construction targeted to start in 2026 and finish by 2028.</w:t>
      </w:r>
    </w:p>
    <w:p>
      <w:pPr>
        <w:spacing w:after="150"/>
      </w:pPr>
      <w:r>
        <w:rPr>
          <w:i/>
          <w:iCs/>
          <w:color w:val="595959"/>
          <w:sz w:val="18"/>
          <w:szCs w:val="18"/>
        </w:rPr>
        <w:t xml:space="preserve">Sources: Prabha News/Telugu Times (Hyderabad unsold inventory, market outlook); Brigade Enclave/Charan Group/YS Realty (Regional Ring Road southern stretch status).</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Chennai's office market saw gross leasing moderate 30% YoY to 4.0 million sq ft in H1 2026, even as OMR Zone 1 remained the city's leading micromarket with a 36% share of total leasing activity.</w:t>
      </w:r>
    </w:p>
    <w:p>
      <w:pPr>
        <w:pStyle w:val="ListParagraph"/>
        <w:numPr>
          <w:ilvl w:val="0"/>
          <w:numId w:val="2"/>
        </w:numPr>
        <w:spacing w:after="80"/>
      </w:pPr>
      <w:r>
        <w:rPr>
          <w:b w:val="false"/>
          <w:bCs w:val="false"/>
        </w:rPr>
        <w:t xml:space="preserve">OMR Zone 1, MPH Road and PT Road together accounted for more than 92% of Chennai's GCC office leasing, reaffirming the corridor's dominance even as overall citywide leasing volumes cooled from 2025 highs.</w:t>
      </w:r>
    </w:p>
    <w:p>
      <w:pPr>
        <w:pStyle w:val="ListParagraph"/>
        <w:numPr>
          <w:ilvl w:val="0"/>
          <w:numId w:val="2"/>
        </w:numPr>
        <w:spacing w:after="80"/>
      </w:pPr>
      <w:r>
        <w:rPr>
          <w:b w:val="false"/>
          <w:bCs w:val="false"/>
        </w:rPr>
        <w:t xml:space="preserve">Shankarpally and Chevella, along Hyderabad's RRR southern corridor, are emerging as fresh industrial and logistics-linked land-value hotspots given their proximity to the city's established IT corridors.</w:t>
      </w:r>
    </w:p>
    <w:p>
      <w:pPr>
        <w:spacing w:after="150"/>
      </w:pPr>
      <w:r>
        <w:rPr>
          <w:i/>
          <w:iCs/>
          <w:color w:val="595959"/>
          <w:sz w:val="18"/>
          <w:szCs w:val="18"/>
        </w:rPr>
        <w:t xml:space="preserve">Sources: Savills/Cushman &amp; Wakefield Chennai MarketBeat (H1 2026 office leasing, OMR/GCC share); Charan Group (RRR-linked land value).</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Hyderabad's steadier, buyer-favourable inventory position (54,878 unsold homes) is prompting CREDAI Telangana members to recalibrate launch pacing toward better-connected micro-markets rather than broad-based new supply.</w:t>
      </w:r>
    </w:p>
    <w:p>
      <w:pPr>
        <w:pStyle w:val="ListParagraph"/>
        <w:numPr>
          <w:ilvl w:val="0"/>
          <w:numId w:val="2"/>
        </w:numPr>
        <w:spacing w:after="80"/>
      </w:pPr>
      <w:r>
        <w:rPr>
          <w:b w:val="false"/>
          <w:bCs w:val="false"/>
        </w:rPr>
        <w:t xml:space="preserve">The Centre's commitment to the RRR southern stretch — spanning five Telangana districts — gives South Indian CREDAI chapters a multi-year infrastructure anchor to plan future project registrations around Hyderabad's periphery.</w:t>
      </w:r>
    </w:p>
    <w:p>
      <w:pPr>
        <w:pStyle w:val="ListParagraph"/>
        <w:numPr>
          <w:ilvl w:val="0"/>
          <w:numId w:val="2"/>
        </w:numPr>
        <w:spacing w:after="80"/>
      </w:pPr>
      <w:r>
        <w:rPr>
          <w:b w:val="false"/>
          <w:bCs w:val="false"/>
        </w:rPr>
        <w:t xml:space="preserve">Chennai's moderating GCC office leasing (down 30% YoY in H1 2026) is being watched by Tamil Nadu CREDAI members as an early signal to monitor commercial absorption alongside the state's otherwise resilient residential demand.</w:t>
      </w:r>
    </w:p>
    <w:p>
      <w:pPr>
        <w:spacing w:after="150"/>
      </w:pPr>
      <w:r>
        <w:rPr>
          <w:i/>
          <w:iCs/>
          <w:color w:val="595959"/>
          <w:sz w:val="18"/>
          <w:szCs w:val="18"/>
        </w:rPr>
        <w:t xml:space="preserve">Sources: Prabha News; Charan Group/YS Realty; Cushman &amp; Wakefield Chennai MarketBeat.</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GST 2.0, rolled out in 2026, is simplifying India's indirect-tax framework for real estate by merging multiple compliance layers and expanding digital tracking — a structural reform developers say is improving transparency across the sector.</w:t>
      </w:r>
    </w:p>
    <w:p>
      <w:pPr>
        <w:pStyle w:val="ListParagraph"/>
        <w:numPr>
          <w:ilvl w:val="0"/>
          <w:numId w:val="2"/>
        </w:numPr>
        <w:spacing w:after="80"/>
      </w:pPr>
      <w:r>
        <w:rPr>
          <w:b w:val="false"/>
          <w:bCs w:val="false"/>
        </w:rPr>
        <w:t xml:space="preserve">Current GST rates remain 1% on affordable housing (carpet area up to 60 sq m in metros/90 sq m elsewhere, priced below ₹45 lakh) and 5% on other residential and commercial units, with GST applying only to under-construction properties and not to ready-to-move-in homes with an Occupancy Certificate.</w:t>
      </w:r>
    </w:p>
    <w:p>
      <w:pPr>
        <w:pStyle w:val="ListParagraph"/>
        <w:numPr>
          <w:ilvl w:val="0"/>
          <w:numId w:val="2"/>
        </w:numPr>
        <w:spacing w:after="80"/>
      </w:pPr>
      <w:r>
        <w:rPr>
          <w:b w:val="false"/>
          <w:bCs w:val="false"/>
        </w:rPr>
        <w:t xml:space="preserve">Rationalisation of GST on key construction inputs under the reform is expected to ease developer input costs over time, with potential downstream benefits for homebuyer affordability as the changes filter through project pricing.</w:t>
      </w:r>
    </w:p>
    <w:p>
      <w:pPr>
        <w:spacing w:after="150"/>
      </w:pPr>
      <w:r>
        <w:rPr>
          <w:i/>
          <w:iCs/>
          <w:color w:val="595959"/>
          <w:sz w:val="18"/>
          <w:szCs w:val="18"/>
        </w:rPr>
        <w:t xml:space="preserve">Sources: Rustomjee/Brigade Group/Razorpay (GST 2.0 real estate rules and impact, 2026).</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India's office market recorded its strongest-ever half-year absorption in H1 2026, with 45.5 million sq ft leased across the top seven cities — GCCs alone accounted for 16.6 million sq ft, or 46% of total leasing.</w:t>
      </w:r>
    </w:p>
    <w:p>
      <w:pPr>
        <w:pStyle w:val="ListParagraph"/>
        <w:numPr>
          <w:ilvl w:val="0"/>
          <w:numId w:val="2"/>
        </w:numPr>
        <w:spacing w:after="80"/>
      </w:pPr>
      <w:r>
        <w:rPr>
          <w:b w:val="false"/>
          <w:bCs w:val="false"/>
        </w:rPr>
        <w:t xml:space="preserve">GCCs are projected to lease 30–35 million sq ft for full-year 2026 (45–50% share of total demand), with technology-sector occupiers expected to drive 40–50% of GCC leasing and GCC transaction counts up roughly 30% YoY.</w:t>
      </w:r>
    </w:p>
    <w:p>
      <w:pPr>
        <w:pStyle w:val="ListParagraph"/>
        <w:numPr>
          <w:ilvl w:val="0"/>
          <w:numId w:val="2"/>
        </w:numPr>
        <w:spacing w:after="80"/>
      </w:pPr>
      <w:r>
        <w:rPr>
          <w:b w:val="false"/>
          <w:bCs w:val="false"/>
        </w:rPr>
        <w:t xml:space="preserve">Annual GCC leasing is forecast to climb further to 35–40 million sq ft in 2027, with their share of total office demand approaching 50% — reinforcing GCCs as the structural engine of India's commercial real estate cycle.</w:t>
      </w:r>
    </w:p>
    <w:p>
      <w:pPr>
        <w:spacing w:after="150"/>
      </w:pPr>
      <w:r>
        <w:rPr>
          <w:i/>
          <w:iCs/>
          <w:color w:val="595959"/>
          <w:sz w:val="18"/>
          <w:szCs w:val="18"/>
        </w:rPr>
        <w:t xml:space="preserve">Sources: Colliers/Equirus Securities via Business Standard/Tribune India/Storyboard18 (H1 2026 and FY26–27 GCC office leasing data).</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GST 2.0's compliance simplification and expanded digital tracking is being positioned by industry bodies as a template for broader ease-of-doing-business reforms the sector wants replicated in state-level RERA processes nationally.</w:t>
      </w:r>
    </w:p>
    <w:p>
      <w:pPr>
        <w:pStyle w:val="ListParagraph"/>
        <w:numPr>
          <w:ilvl w:val="0"/>
          <w:numId w:val="2"/>
        </w:numPr>
        <w:spacing w:after="80"/>
      </w:pPr>
      <w:r>
        <w:rPr>
          <w:b w:val="false"/>
          <w:bCs w:val="false"/>
        </w:rPr>
        <w:t xml:space="preserve">Karnataka's rollout of automated, digital complaint-redressal tools under K-RERA is being watched as a potential model for other state RERAs still relying on largely manual grievance-handling processes.</w:t>
      </w:r>
    </w:p>
    <w:p>
      <w:pPr>
        <w:pStyle w:val="ListParagraph"/>
        <w:numPr>
          <w:ilvl w:val="0"/>
          <w:numId w:val="2"/>
        </w:numPr>
        <w:spacing w:after="80"/>
      </w:pPr>
      <w:r>
        <w:rPr>
          <w:b w:val="false"/>
          <w:bCs w:val="false"/>
        </w:rPr>
        <w:t xml:space="preserve">Record GCC-driven office absorption nationally, alongside Bengaluru's outsized rental and office-rent growth, continues to reinforce the case for continued institutional and developer investment in India's top employment-anchored metros.</w:t>
      </w:r>
    </w:p>
    <w:p>
      <w:pPr>
        <w:spacing w:after="150"/>
      </w:pPr>
      <w:r>
        <w:rPr>
          <w:i/>
          <w:iCs/>
          <w:color w:val="595959"/>
          <w:sz w:val="18"/>
          <w:szCs w:val="18"/>
        </w:rPr>
        <w:t xml:space="preserve">Sources: Rustomjee/Brigade Group; RERAFiling.com; Colliers/Business Standard.</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2026-09-01T03:39:56.450Z</dcterms:created>
  <dcterms:modified xsi:type="dcterms:W3CDTF">2026-09-01T03:39:56.463Z</dcterms:modified>
</cp:coreProperties>
</file>

<file path=docProps/custom.xml><?xml version="1.0" encoding="utf-8"?>
<Properties xmlns="http://schemas.openxmlformats.org/officeDocument/2006/custom-properties" xmlns:vt="http://schemas.openxmlformats.org/officeDocument/2006/docPropsVTypes"/>
</file>