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15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citywide average asking price reached ₹12,119 per sq ft by March 2026, up from ₹10,653 per sq ft in June 2025 — a 14% rise in under a year, with residential prices projected to grow a further 6–10% through the rest of 2026.</w:t>
      </w:r>
    </w:p>
    <w:p>
      <w:pPr>
        <w:pStyle w:val="ListParagraph"/>
        <w:numPr>
          <w:ilvl w:val="0"/>
          <w:numId w:val="2"/>
        </w:numPr>
        <w:spacing w:after="80"/>
      </w:pPr>
      <w:r>
        <w:rPr>
          <w:b w:val="false"/>
          <w:bCs w:val="false"/>
        </w:rPr>
        <w:t xml:space="preserve">Sarjapur Road apartment prices have appreciated from roughly ₹5,000 per sq ft in 2020 to ₹11,000–12,000 per sq ft in 2026 — over 100% in six years — cementing the corridor as one of Bengaluru's strongest long-term investment zones.</w:t>
      </w:r>
    </w:p>
    <w:p>
      <w:pPr>
        <w:pStyle w:val="ListParagraph"/>
        <w:numPr>
          <w:ilvl w:val="0"/>
          <w:numId w:val="2"/>
        </w:numPr>
        <w:spacing w:after="80"/>
      </w:pPr>
      <w:r>
        <w:rPr>
          <w:b w:val="false"/>
          <w:bCs w:val="false"/>
        </w:rPr>
        <w:t xml:space="preserve">NoBroker and Sumadhura have partnered for a two-day Property Expo (15–16 August) at Sheraton Grand Bengaluru Whitefield, timed to the Independence Day weekend, letting buyers compare 10+ projects, pricing and payment options in a single visit.</w:t>
      </w:r>
    </w:p>
    <w:p>
      <w:pPr>
        <w:spacing w:after="150"/>
      </w:pPr>
      <w:r>
        <w:rPr>
          <w:i/>
          <w:iCs/>
          <w:color w:val="595959"/>
          <w:sz w:val="18"/>
          <w:szCs w:val="18"/>
        </w:rPr>
        <w:t xml:space="preserve">Sources: NoBroker/Suyug (citywide price trends); NoBroker/Beegru (Sarjapur Road appreciation); Tribune/LatestLY (NoBroker-Sumadhura Property Expo).</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gross rental yield of 3.5–5.5% continues to outperform Mumbai (1.5–3.0%) and remains competitive with Hyderabad (2.5–4.0%), reinforcing the city's structural appeal for both end-users and NRI investors.</w:t>
      </w:r>
    </w:p>
    <w:p>
      <w:pPr>
        <w:pStyle w:val="ListParagraph"/>
        <w:numPr>
          <w:ilvl w:val="0"/>
          <w:numId w:val="2"/>
        </w:numPr>
        <w:spacing w:after="80"/>
      </w:pPr>
      <w:r>
        <w:rPr>
          <w:b w:val="false"/>
          <w:bCs w:val="false"/>
        </w:rPr>
        <w:t xml:space="preserve">North and South Bengaluru remain the preferred zones for NRI real estate investment, with IT employment growth and USD/INR appreciation continuing to make the city structurally compelling for overseas buyers.</w:t>
      </w:r>
    </w:p>
    <w:p>
      <w:pPr>
        <w:pStyle w:val="ListParagraph"/>
        <w:numPr>
          <w:ilvl w:val="0"/>
          <w:numId w:val="2"/>
        </w:numPr>
        <w:spacing w:after="80"/>
      </w:pPr>
      <w:r>
        <w:rPr>
          <w:b w:val="false"/>
          <w:bCs w:val="false"/>
        </w:rPr>
        <w:t xml:space="preserve">The Whitefield-hosted Property Expo's timing alongside Independence Day reflects a broader industry pattern of developers using the festive weekend to showcase inventory and drive fence-sitting buyers to transact.</w:t>
      </w:r>
    </w:p>
    <w:p>
      <w:pPr>
        <w:spacing w:after="150"/>
      </w:pPr>
      <w:r>
        <w:rPr>
          <w:i/>
          <w:iCs/>
          <w:color w:val="595959"/>
          <w:sz w:val="18"/>
          <w:szCs w:val="18"/>
        </w:rPr>
        <w:t xml:space="preserve">Sources: StarEstate (NRI investment trends, rental yields); Tribune/LatestLY (Property Expo).</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continues to operate without a permanent chairman following H.C. Kishore Chandra's retirement, with the state government yet to confirm a timeline for appointing a successor.</w:t>
      </w:r>
    </w:p>
    <w:p>
      <w:pPr>
        <w:pStyle w:val="ListParagraph"/>
        <w:numPr>
          <w:ilvl w:val="0"/>
          <w:numId w:val="2"/>
        </w:numPr>
        <w:spacing w:after="80"/>
      </w:pPr>
      <w:r>
        <w:rPr>
          <w:b w:val="false"/>
          <w:bCs w:val="false"/>
        </w:rPr>
        <w:t xml:space="preserve">CREDAI Karnataka continues to track the Greater Bengaluru Authority's rollout, including its single-window approval system spanning RERA compliance, as the state's biggest urban-governance restructuring since 2007 progresses toward corporation elections.</w:t>
      </w:r>
    </w:p>
    <w:p>
      <w:pPr>
        <w:pStyle w:val="ListParagraph"/>
        <w:numPr>
          <w:ilvl w:val="0"/>
          <w:numId w:val="2"/>
        </w:numPr>
        <w:spacing w:after="80"/>
      </w:pPr>
      <w:r>
        <w:rPr>
          <w:b w:val="false"/>
          <w:bCs w:val="false"/>
        </w:rPr>
        <w:t xml:space="preserve">The Independence Day weekend's Property Expo underscores continued developer confidence in Bengaluru's residential market even as broader regulatory transitions (GBA, K-RERA leadership) remain in progress.</w:t>
      </w:r>
    </w:p>
    <w:p>
      <w:pPr>
        <w:spacing w:after="150"/>
      </w:pPr>
      <w:r>
        <w:rPr>
          <w:i/>
          <w:iCs/>
          <w:color w:val="595959"/>
          <w:sz w:val="18"/>
          <w:szCs w:val="18"/>
        </w:rPr>
        <w:t xml:space="preserve">Sources: Deccan Herald (K-RERA chairman vacancy); Brigade Group/Indecimal (GBA transition); Tribune/LatestLY.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housing demand has reached a nine-quarter high, with a strong sales uptick, robust YoY growth in new launches, and rising sales pushing capital values upward while rents remain broadly stable.</w:t>
      </w:r>
    </w:p>
    <w:p>
      <w:pPr>
        <w:pStyle w:val="ListParagraph"/>
        <w:numPr>
          <w:ilvl w:val="0"/>
          <w:numId w:val="2"/>
        </w:numPr>
        <w:spacing w:after="80"/>
      </w:pPr>
      <w:r>
        <w:rPr>
          <w:b w:val="false"/>
          <w:bCs w:val="false"/>
        </w:rPr>
        <w:t xml:space="preserve">Chennai's luxury residential segment saw a remarkable 253% QoQ surge in Q1 2026 new launches, as developers respond to strong high-income tenant and buyer demand driven by Global Capability Centres.</w:t>
      </w:r>
    </w:p>
    <w:p>
      <w:pPr>
        <w:pStyle w:val="ListParagraph"/>
        <w:numPr>
          <w:ilvl w:val="0"/>
          <w:numId w:val="2"/>
        </w:numPr>
        <w:spacing w:after="80"/>
      </w:pPr>
      <w:r>
        <w:rPr>
          <w:b w:val="false"/>
          <w:bCs w:val="false"/>
        </w:rPr>
        <w:t xml:space="preserve">East Coast Road (ECR) flat prices in Chennai range ₹7,250–11,500 per sq ft (averaging ~₹8,650), with 15.3% appreciation over the past year alone, reflecting the corridor's growing appeal.</w:t>
      </w:r>
    </w:p>
    <w:p>
      <w:pPr>
        <w:spacing w:after="150"/>
      </w:pPr>
      <w:r>
        <w:rPr>
          <w:i/>
          <w:iCs/>
          <w:color w:val="595959"/>
          <w:sz w:val="18"/>
          <w:szCs w:val="18"/>
        </w:rPr>
        <w:t xml:space="preserve">Sources: NoBroker/BankingInputs (Chennai nine-quarter sales high, luxury launch surge); LiveHomes/NoBroker (ECR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Kokapet micro-market continues to command premium pricing, with current residential rates of ₹9,500–12,700 per sq ft (averaging ₹11,000–12,000) and new launches priced at ₹13,500–17,000 per sq ft.</w:t>
      </w:r>
    </w:p>
    <w:p>
      <w:pPr>
        <w:pStyle w:val="ListParagraph"/>
        <w:numPr>
          <w:ilvl w:val="0"/>
          <w:numId w:val="2"/>
        </w:numPr>
        <w:spacing w:after="80"/>
      </w:pPr>
      <w:r>
        <w:rPr>
          <w:b w:val="false"/>
          <w:bCs w:val="false"/>
        </w:rPr>
        <w:t xml:space="preserve">Kokapet has delivered 100% price appreciation over the past five years and continues to see 12–18% annual growth, driven by sustained Financial District-linked institutional demand for 3 and 4 BHK luxury apartments.</w:t>
      </w:r>
    </w:p>
    <w:p>
      <w:pPr>
        <w:pStyle w:val="ListParagraph"/>
        <w:numPr>
          <w:ilvl w:val="0"/>
          <w:numId w:val="2"/>
        </w:numPr>
        <w:spacing w:after="80"/>
      </w:pPr>
      <w:r>
        <w:rPr>
          <w:b w:val="false"/>
          <w:bCs w:val="false"/>
        </w:rPr>
        <w:t xml:space="preserve">Chennai's GCC-driven luxury housing surge and Hyderabad's Kokapet/Financial District premiumisation together illustrate how South India's two largest IT hubs continue to anchor the region's high-value residential and mixed-use growth.</w:t>
      </w:r>
    </w:p>
    <w:p>
      <w:pPr>
        <w:spacing w:after="150"/>
      </w:pPr>
      <w:r>
        <w:rPr>
          <w:i/>
          <w:iCs/>
          <w:color w:val="595959"/>
          <w:sz w:val="18"/>
          <w:szCs w:val="18"/>
        </w:rPr>
        <w:t xml:space="preserve">Sources: 99acres/Homefleet (Kokapet pricing); Westside Realty/NxtFootstep (Kokapet appreciation); BankingInputs (Chennai GCC-driven luxury demand).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(28–30 August, HITEX) continues to be promoted as a one-stop platform for homebuyers to explore hundreds of 100% RERA-approved projects from leading developers.</w:t>
      </w:r>
    </w:p>
    <w:p>
      <w:pPr>
        <w:pStyle w:val="ListParagraph"/>
        <w:numPr>
          <w:ilvl w:val="0"/>
          <w:numId w:val="2"/>
        </w:numPr>
        <w:spacing w:after="80"/>
      </w:pPr>
      <w:r>
        <w:rPr>
          <w:b w:val="false"/>
          <w:bCs w:val="false"/>
        </w:rPr>
        <w:t xml:space="preserve">CREDAI and NAREDCO's continued endorsement of the Centre's four-month RERA project-extension advisory (for deadlines on or after 28 February 2026) remains directly relevant to Tamil Nadu and Telangana developers navigating West Asia conflict-linked supply constraints.</w:t>
      </w:r>
    </w:p>
    <w:p>
      <w:pPr>
        <w:pStyle w:val="ListParagraph"/>
        <w:numPr>
          <w:ilvl w:val="0"/>
          <w:numId w:val="2"/>
        </w:numPr>
        <w:spacing w:after="80"/>
      </w:pPr>
      <w:r>
        <w:rPr>
          <w:b w:val="false"/>
          <w:bCs w:val="false"/>
        </w:rPr>
        <w:t xml:space="preserve">South Indian CREDAI chapters continue to draw on the FY 2026-27 roadmap set at the Mamallapuram General Body Meeting as they plan sustainability, research and technology priorities across their state markets for the rest of the year.</w:t>
      </w:r>
    </w:p>
    <w:p>
      <w:pPr>
        <w:spacing w:after="150"/>
      </w:pPr>
      <w:r>
        <w:rPr>
          <w:i/>
          <w:iCs/>
          <w:color w:val="595959"/>
          <w:sz w:val="18"/>
          <w:szCs w:val="18"/>
        </w:rPr>
        <w:t xml:space="preserve">Sources: The Hans India (CREDAI Hyderabad Property Show); PropNewsTime (CREDAI-NAREDCO advisory); Business News This Week (CREDAI FY26-27 roadmap).</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14% YoY price rise (to ₹12,119/sq ft by March 2026) and Chennai's nine-quarter-high housing demand together illustrate continued residential price and volume strength in India's leading southern metros even as national growth moderates.</w:t>
      </w:r>
    </w:p>
    <w:p>
      <w:pPr>
        <w:pStyle w:val="ListParagraph"/>
        <w:numPr>
          <w:ilvl w:val="0"/>
          <w:numId w:val="2"/>
        </w:numPr>
        <w:spacing w:after="80"/>
      </w:pPr>
      <w:r>
        <w:rPr>
          <w:b w:val="false"/>
          <w:bCs w:val="false"/>
        </w:rPr>
        <w:t xml:space="preserve">Luxury housing continues to outperform nationally, with Chennai's 253% QoQ surge in Q1 2026 luxury launches echoing similar premiumisation trends seen in Bengaluru's Sarjapur corridor and Hyderabad's Kokapet micro-market.</w:t>
      </w:r>
    </w:p>
    <w:p>
      <w:pPr>
        <w:pStyle w:val="ListParagraph"/>
        <w:numPr>
          <w:ilvl w:val="0"/>
          <w:numId w:val="2"/>
        </w:numPr>
        <w:spacing w:after="80"/>
      </w:pPr>
      <w:r>
        <w:rPr>
          <w:b w:val="false"/>
          <w:bCs w:val="false"/>
        </w:rPr>
        <w:t xml:space="preserve">Developer-led promotional activity around the Independence Day weekend — such as the NoBroker-Sumadhura Bengaluru Property Expo — reflects a broader national pattern of festive-season marketing pushes to convert fence-sitting buyers.</w:t>
      </w:r>
    </w:p>
    <w:p>
      <w:pPr>
        <w:spacing w:after="150"/>
      </w:pPr>
      <w:r>
        <w:rPr>
          <w:i/>
          <w:iCs/>
          <w:color w:val="595959"/>
          <w:sz w:val="18"/>
          <w:szCs w:val="18"/>
        </w:rPr>
        <w:t xml:space="preserve">Sources: NoBroker/Suyug; BankingInputs; Tribune/LatestLY.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rental-yield advantage (3.5–5.5% versus Mumbai's 1.5–3.0%) and Hyderabad's Kokapet appreciation (100% over five years) together highlight how India's leading IT-hub cities continue to outperform on both yield and capital-value metrics nationally.</w:t>
      </w:r>
    </w:p>
    <w:p>
      <w:pPr>
        <w:pStyle w:val="ListParagraph"/>
        <w:numPr>
          <w:ilvl w:val="0"/>
          <w:numId w:val="2"/>
        </w:numPr>
        <w:spacing w:after="80"/>
      </w:pPr>
      <w:r>
        <w:rPr>
          <w:b w:val="false"/>
          <w:bCs w:val="false"/>
        </w:rPr>
        <w:t xml:space="preserve">GCC-driven demand continues to anchor commercial and luxury-residential growth nationally, visible in Chennai's 253% QoQ luxury launch surge and Hyderabad's Financial District-linked Kokapet premiumisation.</w:t>
      </w:r>
    </w:p>
    <w:p>
      <w:pPr>
        <w:pStyle w:val="ListParagraph"/>
        <w:numPr>
          <w:ilvl w:val="0"/>
          <w:numId w:val="2"/>
        </w:numPr>
        <w:spacing w:after="80"/>
      </w:pPr>
      <w:r>
        <w:rPr>
          <w:b w:val="false"/>
          <w:bCs w:val="false"/>
        </w:rPr>
        <w:t xml:space="preserve">Institutional and NRI capital continues to concentrate in India's top IT-employment hubs — Bengaluru, Hyderabad and Chennai — reinforcing these three southern metros' outsized share of the national commercial and residential growth story.</w:t>
      </w:r>
    </w:p>
    <w:p>
      <w:pPr>
        <w:spacing w:after="150"/>
      </w:pPr>
      <w:r>
        <w:rPr>
          <w:i/>
          <w:iCs/>
          <w:color w:val="595959"/>
          <w:sz w:val="18"/>
          <w:szCs w:val="18"/>
        </w:rPr>
        <w:t xml:space="preserve">Sources: StarEstate; BankingInputs; 99acres/Homefleet.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nationally amid West Asia conflict-linked supply-chain disruptions.</w:t>
      </w:r>
    </w:p>
    <w:p>
      <w:pPr>
        <w:pStyle w:val="ListParagraph"/>
        <w:numPr>
          <w:ilvl w:val="0"/>
          <w:numId w:val="2"/>
        </w:numPr>
        <w:spacing w:after="80"/>
      </w:pPr>
      <w:r>
        <w:rPr>
          <w:b w:val="false"/>
          <w:bCs w:val="false"/>
        </w:rPr>
        <w:t xml:space="preserve">CREDAI's FY 2026-27 roadmap, charted at its Mamallapuram General Body Meeting, continues to guide the sector's national priorities across sustainability, urban development, research, legal affairs, finance and technology.</w:t>
      </w:r>
    </w:p>
    <w:p>
      <w:pPr>
        <w:pStyle w:val="ListParagraph"/>
        <w:numPr>
          <w:ilvl w:val="0"/>
          <w:numId w:val="2"/>
        </w:numPr>
        <w:spacing w:after="80"/>
      </w:pPr>
      <w:r>
        <w:rPr>
          <w:b w:val="false"/>
          <w:bCs w:val="false"/>
        </w:rPr>
        <w:t xml:space="preserve">Karnataka's ongoing K-RERA leadership vacancy and Greater Bengaluru Authority transition remain closely watched governance developments for state regulators nationally as India's urban administration continues to modernise.</w:t>
      </w:r>
    </w:p>
    <w:p>
      <w:pPr>
        <w:spacing w:after="150"/>
      </w:pPr>
      <w:r>
        <w:rPr>
          <w:i/>
          <w:iCs/>
          <w:color w:val="595959"/>
          <w:sz w:val="18"/>
          <w:szCs w:val="18"/>
        </w:rPr>
        <w:t xml:space="preserve">Sources: PropNewsTime; Business News This Week;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2026-08-15T03:41:52.594Z</dcterms:created>
  <dcterms:modified xsi:type="dcterms:W3CDTF">2026-08-15T03:41:52.606Z</dcterms:modified>
</cp:coreProperties>
</file>

<file path=docProps/custom.xml><?xml version="1.0" encoding="utf-8"?>
<Properties xmlns="http://schemas.openxmlformats.org/officeDocument/2006/custom-properties" xmlns:vt="http://schemas.openxmlformats.org/officeDocument/2006/docPropsVTypes"/>
</file>