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Saturday, 12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South Bangalore's Bannerghatta Road, Kanakapura Road, JP Nagar, Jayanagar and Banashankari belt is seeing renewed activity after years of relative quiet, driven by the under-construction Pink Line metro and the newly-approved Phase 3 Orange Line — Bannerghatta Road alone has risen 89.2% over the past five years.</w:t>
      </w:r>
    </w:p>
    <w:p>
      <w:pPr>
        <w:pStyle w:val="ListParagraph"/>
        <w:numPr>
          <w:ilvl w:val="0"/>
          <w:numId w:val="2"/>
        </w:numPr>
        <w:spacing w:after="80"/>
      </w:pPr>
      <w:r>
        <w:rPr>
          <w:b w:val="false"/>
          <w:bCs w:val="false"/>
        </w:rPr>
        <w:t xml:space="preserve">JP Nagar continues to command a premium at an average of ₹10,450 per sq ft, though established phases now have limited new-launch inventory, pushing fresh supply toward the southern and eastern fringes near Kothnur and Bannerghatta Road.</w:t>
      </w:r>
    </w:p>
    <w:p>
      <w:pPr>
        <w:pStyle w:val="ListParagraph"/>
        <w:numPr>
          <w:ilvl w:val="0"/>
          <w:numId w:val="2"/>
        </w:numPr>
        <w:spacing w:after="80"/>
      </w:pPr>
      <w:r>
        <w:rPr>
          <w:b w:val="false"/>
          <w:bCs w:val="false"/>
        </w:rPr>
        <w:t xml:space="preserve">Rajarajeshwari Nagar (RR Nagar), on the ORR West/Magadi Road belt, is drawing early investor interest ahead of the Phase 3 metro corridor alignment passing through the zone, with Birla's RR Nagar project cited as a credible pre-announcement entry point.</w:t>
      </w:r>
    </w:p>
    <w:p>
      <w:pPr>
        <w:spacing w:after="150"/>
      </w:pPr>
      <w:r>
        <w:rPr>
          <w:i/>
          <w:iCs/>
          <w:color w:val="595959"/>
          <w:sz w:val="18"/>
          <w:szCs w:val="18"/>
        </w:rPr>
        <w:t xml:space="preserve">Sources: PropNewz/TotalEnvironment (JP Nagar 2026 guide, pricing); Propestate News (Bannerghatta Road/RR Nagar corridor revival, Metro Phase 3 alignment).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Namma Metro Phase 3's foundation stone was laid in August 2025, covering 44.65 km of new corridors expected to benefit Sarjapur Road, JP Nagar and Hebbal by approximately 2028-30, reinforcing long-term commercial and retail potential along these routes.</w:t>
      </w:r>
    </w:p>
    <w:p>
      <w:pPr>
        <w:pStyle w:val="ListParagraph"/>
        <w:numPr>
          <w:ilvl w:val="0"/>
          <w:numId w:val="2"/>
        </w:numPr>
        <w:spacing w:after="80"/>
      </w:pPr>
      <w:r>
        <w:rPr>
          <w:b w:val="false"/>
          <w:bCs w:val="false"/>
        </w:rPr>
        <w:t xml:space="preserve">Bengaluru accounts for 68% of South India's senior-living real estate project supply, with the segment growing 15–17% annually in the city — a fast-emerging specialised commercial real estate category alongside traditional office and retail.</w:t>
      </w:r>
    </w:p>
    <w:p>
      <w:pPr>
        <w:pStyle w:val="ListParagraph"/>
        <w:numPr>
          <w:ilvl w:val="0"/>
          <w:numId w:val="2"/>
        </w:numPr>
        <w:spacing w:after="80"/>
      </w:pPr>
      <w:r>
        <w:rPr>
          <w:b w:val="false"/>
          <w:bCs w:val="false"/>
        </w:rPr>
        <w:t xml:space="preserve">Continued Pink Line construction progress is expected to sustain retail and commercial leasing interest along the Bannerghatta Road-Kanakapura Road corridor even as residential prices continue their multi-year climb.</w:t>
      </w:r>
    </w:p>
    <w:p>
      <w:pPr>
        <w:spacing w:after="150"/>
      </w:pPr>
      <w:r>
        <w:rPr>
          <w:i/>
          <w:iCs/>
          <w:color w:val="595959"/>
          <w:sz w:val="18"/>
          <w:szCs w:val="18"/>
        </w:rPr>
        <w:t xml:space="preserve">Sources: Propestate News (Metro Phase 3 details); Colliers/Mordor Intelligence (Bengaluru senior-living market share).</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 ordered Casagrande Garden City Builders to refund ₹52.74 lakh to a Bengaluru homebuyer after finding unfair trade practices related to GST billing, reinforcing the regulator's continued case-by-case enforcement discipline.</w:t>
      </w:r>
    </w:p>
    <w:p>
      <w:pPr>
        <w:pStyle w:val="ListParagraph"/>
        <w:numPr>
          <w:ilvl w:val="0"/>
          <w:numId w:val="2"/>
        </w:numPr>
        <w:spacing w:after="80"/>
      </w:pPr>
      <w:r>
        <w:rPr>
          <w:b w:val="false"/>
          <w:bCs w:val="false"/>
        </w:rPr>
        <w:t xml:space="preserve">CREDAI Karnataka continues to track South Bangalore's metro-driven revival — particularly Bannerghatta Road's 89.2% five-year appreciation — as a case study in how transit infrastructure reshapes long-quiet corridors.</w:t>
      </w:r>
    </w:p>
    <w:p>
      <w:pPr>
        <w:pStyle w:val="ListParagraph"/>
        <w:numPr>
          <w:ilvl w:val="0"/>
          <w:numId w:val="2"/>
        </w:numPr>
        <w:spacing w:after="80"/>
      </w:pPr>
      <w:r>
        <w:rPr>
          <w:b w:val="false"/>
          <w:bCs w:val="false"/>
        </w:rPr>
        <w:t xml:space="preserve">Bengaluru's dominant 68% share of South India's senior-living supply is prompting early discussion among Karnataka's regulatory bodies on whether this fast-growing asset class needs distinct registration and disclosure norms.</w:t>
      </w:r>
    </w:p>
    <w:p>
      <w:pPr>
        <w:spacing w:after="150"/>
      </w:pPr>
      <w:r>
        <w:rPr>
          <w:i/>
          <w:iCs/>
          <w:color w:val="595959"/>
          <w:sz w:val="18"/>
          <w:szCs w:val="18"/>
        </w:rPr>
        <w:t xml:space="preserve">Sources: BookNewProperty (K-RERA Casagrande refund order); Propestate News; Colliers/Mordor Intelligence.</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Kochi continues to lead Kerala for NRI investment, anchored by its international airport, established tech zones including Infopark, and upscale lakefront developments along Marine Drive that continue to draw overseas buyer interest.</w:t>
      </w:r>
    </w:p>
    <w:p>
      <w:pPr>
        <w:pStyle w:val="ListParagraph"/>
        <w:numPr>
          <w:ilvl w:val="0"/>
          <w:numId w:val="2"/>
        </w:numPr>
        <w:spacing w:after="80"/>
      </w:pPr>
      <w:r>
        <w:rPr>
          <w:b w:val="false"/>
          <w:bCs w:val="false"/>
        </w:rPr>
        <w:t xml:space="preserve">Kerala's broader real estate market continues to see significant growth driven by rapid urbanisation, rising investment activity and continued NRI capital inflows across the state's key coastal and IT-linked cities.</w:t>
      </w:r>
    </w:p>
    <w:p>
      <w:pPr>
        <w:pStyle w:val="ListParagraph"/>
        <w:numPr>
          <w:ilvl w:val="0"/>
          <w:numId w:val="2"/>
        </w:numPr>
        <w:spacing w:after="80"/>
      </w:pPr>
      <w:r>
        <w:rPr>
          <w:b w:val="false"/>
          <w:bCs w:val="false"/>
        </w:rPr>
        <w:t xml:space="preserve">Hyderabad's senior-living real estate segment is projected to grow at a 26.99% CAGR between 2026 and 2031, fuelled by the city's pharmaceutical corridors and comparatively affordable land, positioning it as a distinct South Indian growth story beyond mainstream residential demand.</w:t>
      </w:r>
    </w:p>
    <w:p>
      <w:pPr>
        <w:spacing w:after="150"/>
      </w:pPr>
      <w:r>
        <w:rPr>
          <w:i/>
          <w:iCs/>
          <w:color w:val="595959"/>
          <w:sz w:val="18"/>
          <w:szCs w:val="18"/>
        </w:rPr>
        <w:t xml:space="preserve">Sources: Manoramaonline (K-RERA advisories, Kerala real estate trends); Mordor Intelligence (Hyderabad senior-living CAGR, Kochi NRI investment drivers).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organised senior-living sector is valued at ₹25,000 crore but covers just 22,157 units against 162.2 million seniors nationally — less than 1% penetration — with demand projected to reach 2.3 million units by 2030, a ₹64,500 crore opportunity.</w:t>
      </w:r>
    </w:p>
    <w:p>
      <w:pPr>
        <w:pStyle w:val="ListParagraph"/>
        <w:numPr>
          <w:ilvl w:val="0"/>
          <w:numId w:val="2"/>
        </w:numPr>
        <w:spacing w:after="80"/>
      </w:pPr>
      <w:r>
        <w:rPr>
          <w:b w:val="false"/>
          <w:bCs w:val="false"/>
        </w:rPr>
        <w:t xml:space="preserve">Hyderabad's pharmaceutical-corridor-driven senior-living growth complements the city's broader GCC and IT-BPM commercial momentum, positioning it as a dual growth market across both specialised and mainstream real estate segments.</w:t>
      </w:r>
    </w:p>
    <w:p>
      <w:pPr>
        <w:pStyle w:val="ListParagraph"/>
        <w:numPr>
          <w:ilvl w:val="0"/>
          <w:numId w:val="2"/>
        </w:numPr>
        <w:spacing w:after="80"/>
      </w:pPr>
      <w:r>
        <w:rPr>
          <w:b w:val="false"/>
          <w:bCs w:val="false"/>
        </w:rPr>
        <w:t xml:space="preserve">Kochi's continued Infopark expansion and lakefront commercial development reinforce Kerala's position as a magnet for NRI-driven commercial and residential capital within South India.</w:t>
      </w:r>
    </w:p>
    <w:p>
      <w:pPr>
        <w:spacing w:after="150"/>
      </w:pPr>
      <w:r>
        <w:rPr>
          <w:i/>
          <w:iCs/>
          <w:color w:val="595959"/>
          <w:sz w:val="18"/>
          <w:szCs w:val="18"/>
        </w:rPr>
        <w:t xml:space="preserve">Sources: Colliers/Onmanorama (India organised senior-living sector size, demand projection); Mordor Intelligence.</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K-RERA (Kerala)'s continued buyer-facing transparency advisories — urging prospective investors to verify project details via the official K-RERA portal before purchase — are helping sustain buyer confidence amid Kochi's ongoing NRI investment boom.</w:t>
      </w:r>
    </w:p>
    <w:p>
      <w:pPr>
        <w:pStyle w:val="ListParagraph"/>
        <w:numPr>
          <w:ilvl w:val="0"/>
          <w:numId w:val="2"/>
        </w:numPr>
        <w:spacing w:after="80"/>
      </w:pPr>
      <w:r>
        <w:rPr>
          <w:b w:val="false"/>
          <w:bCs w:val="false"/>
        </w:rPr>
        <w:t xml:space="preserve">CREDAI Telangana and Kerala chapters are both likely to watch the rapid growth of the senior-living segment (Hyderabad's 26.99% CAGR) as a case for developing specialised registration and disclosure norms distinct from standard residential categories.</w:t>
      </w:r>
    </w:p>
    <w:p>
      <w:pPr>
        <w:pStyle w:val="ListParagraph"/>
        <w:numPr>
          <w:ilvl w:val="0"/>
          <w:numId w:val="2"/>
        </w:numPr>
        <w:spacing w:after="80"/>
      </w:pPr>
      <w:r>
        <w:rPr>
          <w:b w:val="false"/>
          <w:bCs w:val="false"/>
        </w:rPr>
        <w:t xml:space="preserve">Kochi's sustained appeal to NRI buyers continues to reinforce the case for streamlined registration and documentation processes for high-value overseas real estate transactions across South Indian states.</w:t>
      </w:r>
    </w:p>
    <w:p>
      <w:pPr>
        <w:spacing w:after="150"/>
      </w:pPr>
      <w:r>
        <w:rPr>
          <w:i/>
          <w:iCs/>
          <w:color w:val="595959"/>
          <w:sz w:val="18"/>
          <w:szCs w:val="18"/>
        </w:rPr>
        <w:t xml:space="preserve">Sources: Manoramaonline; Colliers/Onmanorama; Mordor Intelligence.</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senior living market is estimated to reach USD 4.47 billion in 2026 and is projected to grow to USD 14.14 billion by 2031, a 25.92% CAGR, as the organised sector rapidly scales from a low base nationally.</w:t>
      </w:r>
    </w:p>
    <w:p>
      <w:pPr>
        <w:pStyle w:val="ListParagraph"/>
        <w:numPr>
          <w:ilvl w:val="0"/>
          <w:numId w:val="2"/>
        </w:numPr>
        <w:spacing w:after="80"/>
      </w:pPr>
      <w:r>
        <w:rPr>
          <w:b w:val="false"/>
          <w:bCs w:val="false"/>
        </w:rPr>
        <w:t xml:space="preserve">India's organised senior-living sector, currently valued at ₹25,000 crore, has just 22,157 units against a population of 162.2 million seniors — covering less than 1% of the addressable market — with demand projected to reach 2.3 million units by 2030.</w:t>
      </w:r>
    </w:p>
    <w:p>
      <w:pPr>
        <w:pStyle w:val="ListParagraph"/>
        <w:numPr>
          <w:ilvl w:val="0"/>
          <w:numId w:val="2"/>
        </w:numPr>
        <w:spacing w:after="80"/>
      </w:pPr>
      <w:r>
        <w:rPr>
          <w:b w:val="false"/>
          <w:bCs w:val="false"/>
        </w:rPr>
        <w:t xml:space="preserve">Independent living led India's senior-living market with 64.50% share in 2025, while assisted living — with integrated healthcare — is forecast to grow fastest, at a 27.35% CAGR through 2031, as the sector matures beyond conventional retirement housing.</w:t>
      </w:r>
    </w:p>
    <w:p>
      <w:pPr>
        <w:spacing w:after="150"/>
      </w:pPr>
      <w:r>
        <w:rPr>
          <w:i/>
          <w:iCs/>
          <w:color w:val="595959"/>
          <w:sz w:val="18"/>
          <w:szCs w:val="18"/>
        </w:rPr>
        <w:t xml:space="preserve">Sources: Mordor Intelligence (India senior living market size, CAGR, segment share); Colliers/Onmanorama (organised sector value, unit penetration, demand projection).</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(68% of South India's senior-living supply, growing 15-17% annually) and Hyderabad (26.99% CAGR 2026-31, driven by pharmaceutical corridors and affordable land) are emerging as India's two leading senior-living growth markets.</w:t>
      </w:r>
    </w:p>
    <w:p>
      <w:pPr>
        <w:pStyle w:val="ListParagraph"/>
        <w:numPr>
          <w:ilvl w:val="0"/>
          <w:numId w:val="2"/>
        </w:numPr>
        <w:spacing w:after="80"/>
      </w:pPr>
      <w:r>
        <w:rPr>
          <w:b w:val="false"/>
          <w:bCs w:val="false"/>
        </w:rPr>
        <w:t xml:space="preserve">Delhi-NCR and Mumbai combine large, affluent populations with deep tertiary-care ecosystems for senior living, yet high plot valuations continue to slow large-scale campus rollouts in both metros relative to South Indian markets.</w:t>
      </w:r>
    </w:p>
    <w:p>
      <w:pPr>
        <w:pStyle w:val="ListParagraph"/>
        <w:numPr>
          <w:ilvl w:val="0"/>
          <w:numId w:val="2"/>
        </w:numPr>
        <w:spacing w:after="80"/>
      </w:pPr>
      <w:r>
        <w:rPr>
          <w:b w:val="false"/>
          <w:bCs w:val="false"/>
        </w:rPr>
        <w:t xml:space="preserve">The senior-living segment's evolution toward healthcare-integrated housing reflects a broader institutionalisation trend across India's specialised real estate asset classes, alongside REITs and data centres, as investors diversify beyond traditional residential and office formats.</w:t>
      </w:r>
    </w:p>
    <w:p>
      <w:pPr>
        <w:spacing w:after="150"/>
      </w:pPr>
      <w:r>
        <w:rPr>
          <w:i/>
          <w:iCs/>
          <w:color w:val="595959"/>
          <w:sz w:val="18"/>
          <w:szCs w:val="18"/>
        </w:rPr>
        <w:t xml:space="preserve">Sources: Colliers/Onmanorama; Mordor Intelligence.</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senior-living segment's rapid national growth (25.92% CAGR) is likely to prompt CREDAI and NAREDCO to advocate for dedicated registration and disclosure frameworks tailored to healthcare-integrated housing, distinct from standard residential RERA categories.</w:t>
      </w:r>
    </w:p>
    <w:p>
      <w:pPr>
        <w:pStyle w:val="ListParagraph"/>
        <w:numPr>
          <w:ilvl w:val="0"/>
          <w:numId w:val="2"/>
        </w:numPr>
        <w:spacing w:after="80"/>
      </w:pPr>
      <w:r>
        <w:rPr>
          <w:b w:val="false"/>
          <w:bCs w:val="false"/>
        </w:rPr>
        <w:t xml:space="preserve">Individual state RERA enforcement actions, such as K-RERA Karnataka's ₹52.74 lakh refund order against a Bengaluru developer over unfair GST billing, continue to reinforce buyer protections nationally even as newer asset classes emerge.</w:t>
      </w:r>
    </w:p>
    <w:p>
      <w:pPr>
        <w:pStyle w:val="ListParagraph"/>
        <w:numPr>
          <w:ilvl w:val="0"/>
          <w:numId w:val="2"/>
        </w:numPr>
        <w:spacing w:after="80"/>
      </w:pPr>
      <w:r>
        <w:rPr>
          <w:b w:val="false"/>
          <w:bCs w:val="false"/>
        </w:rPr>
        <w:t xml:space="preserve">Bengaluru and Hyderabad's dual leadership in senior-living supply growth reinforces South India's position at the forefront of India's emerging specialised real estate asset classes, alongside its established strength in GCC office leasing and data centres.</w:t>
      </w:r>
    </w:p>
    <w:p>
      <w:pPr>
        <w:spacing w:after="150"/>
      </w:pPr>
      <w:r>
        <w:rPr>
          <w:i/>
          <w:iCs/>
          <w:color w:val="595959"/>
          <w:sz w:val="18"/>
          <w:szCs w:val="18"/>
        </w:rPr>
        <w:t xml:space="preserve">Sources: Colliers/Onmanorama; BookNewProperty; Mordor Intelligence.</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2026-09-12T03:40:10.506Z</dcterms:created>
  <dcterms:modified xsi:type="dcterms:W3CDTF">2026-09-12T03:40:10.517Z</dcterms:modified>
</cp:coreProperties>
</file>

<file path=docProps/custom.xml><?xml version="1.0" encoding="utf-8"?>
<Properties xmlns="http://schemas.openxmlformats.org/officeDocument/2006/custom-properties" xmlns:vt="http://schemas.openxmlformats.org/officeDocument/2006/docPropsVTypes"/>
</file>