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8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was the preferred choice among 24.35% of NRI respondents in a UAE poll on where they'd prefer buying residential property in the coming months — reaffirming the city's continued pull for overseas Indian buyers.</w:t>
      </w:r>
    </w:p>
    <w:p>
      <w:pPr>
        <w:pStyle w:val="ListParagraph"/>
        <w:numPr>
          <w:ilvl w:val="0"/>
          <w:numId w:val="2"/>
        </w:numPr>
        <w:spacing w:after="80"/>
      </w:pPr>
      <w:r>
        <w:rPr>
          <w:b w:val="false"/>
          <w:bCs w:val="false"/>
        </w:rPr>
        <w:t xml:space="preserve">Century Real Estate reported more than double sales bookings at ₹1,062 crore in the July–September period on strong residential demand, while progressing its planned ₹3,000 crore mixed-use project in East Bengaluru (1.7 million sq ft residential, 750 apartments).</w:t>
      </w:r>
    </w:p>
    <w:p>
      <w:pPr>
        <w:pStyle w:val="ListParagraph"/>
        <w:numPr>
          <w:ilvl w:val="0"/>
          <w:numId w:val="2"/>
        </w:numPr>
        <w:spacing w:after="80"/>
      </w:pPr>
      <w:r>
        <w:rPr>
          <w:b w:val="false"/>
          <w:bCs w:val="false"/>
        </w:rPr>
        <w:t xml:space="preserve">Bengaluru continues to draw NRI interest on the back of strong appreciation potential, rental demand and infrastructure growth, alongside Hyderabad, Pune, Mumbai, Delhi-NCR and Chennai as India's most-favoured NRI investment destinations in 2026.</w:t>
      </w:r>
    </w:p>
    <w:p>
      <w:pPr>
        <w:spacing w:after="150"/>
      </w:pPr>
      <w:r>
        <w:rPr>
          <w:i/>
          <w:iCs/>
          <w:color w:val="595959"/>
          <w:sz w:val="18"/>
          <w:szCs w:val="18"/>
        </w:rPr>
        <w:t xml:space="preserve">Sources: NoBroker (NRI UAE poll); Business Standard (Century Real Estate); NoBroker/StarEstate (NRI city rankings).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continued to lead India's commercial property market in H1 2026, with companies leasing 14.1 million sq ft.</w:t>
      </w:r>
    </w:p>
    <w:p>
      <w:pPr>
        <w:pStyle w:val="ListParagraph"/>
        <w:numPr>
          <w:ilvl w:val="0"/>
          <w:numId w:val="2"/>
        </w:numPr>
        <w:spacing w:after="80"/>
      </w:pPr>
      <w:r>
        <w:rPr>
          <w:b w:val="false"/>
          <w:bCs w:val="false"/>
        </w:rPr>
        <w:t xml:space="preserve">B.L. Kashyap and Sons has secured a ₹295 crore order from Embassy Construction for civil and structural work in Bengaluru, expected to be completed within approximately 18 months — a sign of continued institutional-grade construction activity in the city.</w:t>
      </w:r>
    </w:p>
    <w:p>
      <w:pPr>
        <w:pStyle w:val="ListParagraph"/>
        <w:numPr>
          <w:ilvl w:val="0"/>
          <w:numId w:val="2"/>
        </w:numPr>
        <w:spacing w:after="80"/>
      </w:pPr>
      <w:r>
        <w:rPr>
          <w:b w:val="false"/>
          <w:bCs w:val="false"/>
        </w:rPr>
        <w:t xml:space="preserve">Century Real Estate's East Bengaluru mixed-use project continues to combine residential, commercial and retail components, reflecting continued developer confidence in integrated large-format developments.</w:t>
      </w:r>
    </w:p>
    <w:p>
      <w:pPr>
        <w:spacing w:after="150"/>
      </w:pPr>
      <w:r>
        <w:rPr>
          <w:i/>
          <w:iCs/>
          <w:color w:val="595959"/>
          <w:sz w:val="18"/>
          <w:szCs w:val="18"/>
        </w:rPr>
        <w:t xml:space="preserve">Sources: Business Standard (B.L. Kashyap); Business Standard (Century Real Estate).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directed a project promoter involved in BDA housing project phases to complete statutory registration under Section 3 within two weeks, reinforcing the regulator's active enforcement of registration compliance.</w:t>
      </w:r>
    </w:p>
    <w:p>
      <w:pPr>
        <w:pStyle w:val="ListParagraph"/>
        <w:numPr>
          <w:ilvl w:val="0"/>
          <w:numId w:val="2"/>
        </w:numPr>
        <w:spacing w:after="80"/>
      </w:pPr>
      <w:r>
        <w:rPr>
          <w:b w:val="false"/>
          <w:bCs w:val="false"/>
        </w:rPr>
        <w:t xml:space="preserve">BBMP has made e-Khata mandatory for building plan approvals effective 1 July, adding a further compliance layer to Bengaluru's evolving digital land-records regime alongside the Kaveri 2.0 rollout.</w:t>
      </w:r>
    </w:p>
    <w:p>
      <w:pPr>
        <w:pStyle w:val="ListParagraph"/>
        <w:numPr>
          <w:ilvl w:val="0"/>
          <w:numId w:val="2"/>
        </w:numPr>
        <w:spacing w:after="80"/>
      </w:pPr>
      <w:r>
        <w:rPr>
          <w:b w:val="false"/>
          <w:bCs w:val="false"/>
        </w:rPr>
        <w:t xml:space="preserve">CREDAI Karnataka continues to track these overlapping registration and compliance reforms — e-Khata, K-RERA statutory registration enforcement, and Kaveri 2.0 — as they collectively reshape the city's project-approval and property-transaction landscape.</w:t>
      </w:r>
    </w:p>
    <w:p>
      <w:pPr>
        <w:spacing w:after="150"/>
      </w:pPr>
      <w:r>
        <w:rPr>
          <w:i/>
          <w:iCs/>
          <w:color w:val="595959"/>
          <w:sz w:val="18"/>
          <w:szCs w:val="18"/>
        </w:rPr>
        <w:t xml:space="preserve">Sources: ABCBuildcon (K-RERA Section 3 order); Deccan Herald (BBMP e-Khata mandate);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recorded the strongest annual sales growth among major Indian metros at 12%, with rental yields approaching 6% in select pockets and Q1 2026 rental growth of 9–16% YoY in key mid-premium segments.</w:t>
      </w:r>
    </w:p>
    <w:p>
      <w:pPr>
        <w:pStyle w:val="ListParagraph"/>
        <w:numPr>
          <w:ilvl w:val="0"/>
          <w:numId w:val="2"/>
        </w:numPr>
        <w:spacing w:after="80"/>
      </w:pPr>
      <w:r>
        <w:rPr>
          <w:b w:val="false"/>
          <w:bCs w:val="false"/>
        </w:rPr>
        <w:t xml:space="preserve">OMR, East Tambaram and the Outer Ring Road near Poonamallee are benefiting from the upcoming Metro Line 4, driving renewed residential investment interest in these corridors.</w:t>
      </w:r>
    </w:p>
    <w:p>
      <w:pPr>
        <w:pStyle w:val="ListParagraph"/>
        <w:numPr>
          <w:ilvl w:val="0"/>
          <w:numId w:val="2"/>
        </w:numPr>
        <w:spacing w:after="80"/>
      </w:pPr>
      <w:r>
        <w:rPr>
          <w:b w:val="false"/>
          <w:bCs w:val="false"/>
        </w:rPr>
        <w:t xml:space="preserve">Hyderabad continues to draw NRI investment on the back of rapid infrastructure development, IT expansion, RERA transparency and strong rental demand, with HITEC City, Kokapet and the Financial District attracting GCC-linked rental demand.</w:t>
      </w:r>
    </w:p>
    <w:p>
      <w:pPr>
        <w:spacing w:after="150"/>
      </w:pPr>
      <w:r>
        <w:rPr>
          <w:i/>
          <w:iCs/>
          <w:color w:val="595959"/>
          <w:sz w:val="18"/>
          <w:szCs w:val="18"/>
        </w:rPr>
        <w:t xml:space="preserve">Sources: NRI investment guides (NoBroker/StarEstate); Lancor/MP Developers (Chennai NRI guides); Brigade Group/KLM Projects (Hyderabad NRI guides).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2026 is being framed as among the most favourable years in recent memory for NRI property investment in Chennai, with interest rates down from 2023 highs and a simplified regulatory environment.</w:t>
      </w:r>
    </w:p>
    <w:p>
      <w:pPr>
        <w:pStyle w:val="ListParagraph"/>
        <w:numPr>
          <w:ilvl w:val="0"/>
          <w:numId w:val="2"/>
        </w:numPr>
        <w:spacing w:after="80"/>
      </w:pPr>
      <w:r>
        <w:rPr>
          <w:b w:val="false"/>
          <w:bCs w:val="false"/>
        </w:rPr>
        <w:t xml:space="preserve">A stronger foreign currency against the rupee is allowing NRIs to buy 15–20% more built-up area compared to recent years, a tailwind benefiting both Chennai and Hyderabad's residential and mixed-use markets.</w:t>
      </w:r>
    </w:p>
    <w:p>
      <w:pPr>
        <w:pStyle w:val="ListParagraph"/>
        <w:numPr>
          <w:ilvl w:val="0"/>
          <w:numId w:val="2"/>
        </w:numPr>
        <w:spacing w:after="80"/>
      </w:pPr>
      <w:r>
        <w:rPr>
          <w:b w:val="false"/>
          <w:bCs w:val="false"/>
        </w:rPr>
        <w:t xml:space="preserve">Hyderabad's GCC-linked commercial corridors (HITEC City, Kokapet, Financial District) continue to anchor the city's rental demand story, reinforcing the tight link between its commercial and residential growth.</w:t>
      </w:r>
    </w:p>
    <w:p>
      <w:pPr>
        <w:spacing w:after="150"/>
      </w:pPr>
      <w:r>
        <w:rPr>
          <w:i/>
          <w:iCs/>
          <w:color w:val="595959"/>
          <w:sz w:val="18"/>
          <w:szCs w:val="18"/>
        </w:rPr>
        <w:t xml:space="preserve">Sources: Lancor (Chennai NRI guide); NoBroker (NRI investment advantages); Brigade Group/KLM Projects.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convened its first General Body Meeting for FY 2026-27 in Mamallapuram, Tamil Nadu, bringing together National Office Bearers, State Presidents, Committee Conveners and over 125 members from across the country.</w:t>
      </w:r>
    </w:p>
    <w:p>
      <w:pPr>
        <w:pStyle w:val="ListParagraph"/>
        <w:numPr>
          <w:ilvl w:val="0"/>
          <w:numId w:val="2"/>
        </w:numPr>
        <w:spacing w:after="80"/>
      </w:pPr>
      <w:r>
        <w:rPr>
          <w:b w:val="false"/>
          <w:bCs w:val="false"/>
        </w:rPr>
        <w:t xml:space="preserve">The Mamallapuram meeting unveiled CREDAI's FY 2026-27 roadmap, with discussions spanning sustainability, urban development, research, skill development, legal affairs, finance, technology and policy advocacy — directly shaping South India's chapters' priorities for the year ahead.</w:t>
      </w:r>
    </w:p>
    <w:p>
      <w:pPr>
        <w:pStyle w:val="ListParagraph"/>
        <w:numPr>
          <w:ilvl w:val="0"/>
          <w:numId w:val="2"/>
        </w:numPr>
        <w:spacing w:after="80"/>
      </w:pPr>
      <w:r>
        <w:rPr>
          <w:b w:val="false"/>
          <w:bCs w:val="false"/>
        </w:rPr>
        <w:t xml:space="preserve">CREDAI's continued national RERA advocacy (including the four-month project-extension advisory) remains a live agenda item for Tamil Nadu, Telangana and Karnataka developer members represented at the Mamallapuram meeting.</w:t>
      </w:r>
    </w:p>
    <w:p>
      <w:pPr>
        <w:spacing w:after="150"/>
      </w:pPr>
      <w:r>
        <w:rPr>
          <w:i/>
          <w:iCs/>
          <w:color w:val="595959"/>
          <w:sz w:val="18"/>
          <w:szCs w:val="18"/>
        </w:rPr>
        <w:t xml:space="preserve">Sources: The Realty Today (CREDAI FY26-27 roadmap); PropNewsTime; Investment Guru India.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Hyderabad, Pune, Mumbai (MMR), Delhi-NCR and Chennai are the six cities most favoured by NRIs in 2026 for strong appreciation potential, rental demand and infrastructure growth.</w:t>
      </w:r>
    </w:p>
    <w:p>
      <w:pPr>
        <w:pStyle w:val="ListParagraph"/>
        <w:numPr>
          <w:ilvl w:val="0"/>
          <w:numId w:val="2"/>
        </w:numPr>
        <w:spacing w:after="80"/>
      </w:pPr>
      <w:r>
        <w:rPr>
          <w:b w:val="false"/>
          <w:bCs w:val="false"/>
        </w:rPr>
        <w:t xml:space="preserve">A stronger foreign currency against the rupee is allowing NRIs to purchase 15–20% more built-up area than in recent years, a structural tailwind for NRI-driven residential demand nationally.</w:t>
      </w:r>
    </w:p>
    <w:p>
      <w:pPr>
        <w:pStyle w:val="ListParagraph"/>
        <w:numPr>
          <w:ilvl w:val="0"/>
          <w:numId w:val="2"/>
        </w:numPr>
        <w:spacing w:after="80"/>
      </w:pPr>
      <w:r>
        <w:rPr>
          <w:b w:val="false"/>
          <w:bCs w:val="false"/>
        </w:rPr>
        <w:t xml:space="preserve">CREDAI's newly unveiled FY 2026-27 roadmap, discussed at its Mamallapuram General Body Meeting, sets the sector's national priorities across sustainability, urban development and policy advocacy for the year ahead.</w:t>
      </w:r>
    </w:p>
    <w:p>
      <w:pPr>
        <w:spacing w:after="150"/>
      </w:pPr>
      <w:r>
        <w:rPr>
          <w:i/>
          <w:iCs/>
          <w:color w:val="595959"/>
          <w:sz w:val="18"/>
          <w:szCs w:val="18"/>
        </w:rPr>
        <w:t xml:space="preserve">Sources: NoBroker/StarEstate (NRI city rankings); The Realty Today (CREDAI FY26-27 roadmap).</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Union Government's four-month RERA project-extension advisory, invoking Force Majeure provisions for West Asia conflict-linked delays, continues to be implemented by state RERAs nationally for projects with completion deadlines on or after 28 February 2026.</w:t>
      </w:r>
    </w:p>
    <w:p>
      <w:pPr>
        <w:pStyle w:val="ListParagraph"/>
        <w:numPr>
          <w:ilvl w:val="0"/>
          <w:numId w:val="2"/>
        </w:numPr>
        <w:spacing w:after="80"/>
      </w:pPr>
      <w:r>
        <w:rPr>
          <w:b w:val="false"/>
          <w:bCs w:val="false"/>
        </w:rPr>
        <w:t xml:space="preserve">CREDAI's Mamallapuram General Body Meeting reviewed the sector's FY 2026-27 priorities across technology, finance and legal affairs — themes with direct implications for commercial and industrial real estate execution nationally.</w:t>
      </w:r>
    </w:p>
    <w:p>
      <w:pPr>
        <w:pStyle w:val="ListParagraph"/>
        <w:numPr>
          <w:ilvl w:val="0"/>
          <w:numId w:val="2"/>
        </w:numPr>
        <w:spacing w:after="80"/>
      </w:pPr>
      <w:r>
        <w:rPr>
          <w:b w:val="false"/>
          <w:bCs w:val="false"/>
        </w:rPr>
        <w:t xml:space="preserve">Continued institutional construction activity — such as B.L. Kashyap's ₹295 crore Bengaluru order from Embassy Construction — signals sustained confidence in India's commercial real estate pipeline even amid broader market recalibration.</w:t>
      </w:r>
    </w:p>
    <w:p>
      <w:pPr>
        <w:spacing w:after="150"/>
      </w:pPr>
      <w:r>
        <w:rPr>
          <w:i/>
          <w:iCs/>
          <w:color w:val="595959"/>
          <w:sz w:val="18"/>
          <w:szCs w:val="18"/>
        </w:rPr>
        <w:t xml:space="preserve">Sources: Investment Guru India; The Realty Today; Business Standard (B.L. Kashyap).</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convened its first General Body Meeting for FY 2026-27 in Mamallapuram, Tamil Nadu, unveiling a roadmap for sustainable urban development and real estate growth with over 125 members and national leadership in attendance.</w:t>
      </w:r>
    </w:p>
    <w:p>
      <w:pPr>
        <w:pStyle w:val="ListParagraph"/>
        <w:numPr>
          <w:ilvl w:val="0"/>
          <w:numId w:val="2"/>
        </w:numPr>
        <w:spacing w:after="80"/>
      </w:pPr>
      <w:r>
        <w:rPr>
          <w:b w:val="false"/>
          <w:bCs w:val="false"/>
        </w:rPr>
        <w:t xml:space="preserve">The Centre's four-month RERA extension advisory continues to draw broad developer-body endorsement nationally, following earlier support from CREDAI's national leadership, CREDAI Odisha and NAREDCO.</w:t>
      </w:r>
    </w:p>
    <w:p>
      <w:pPr>
        <w:pStyle w:val="ListParagraph"/>
        <w:numPr>
          <w:ilvl w:val="0"/>
          <w:numId w:val="2"/>
        </w:numPr>
        <w:spacing w:after="80"/>
      </w:pPr>
      <w:r>
        <w:rPr>
          <w:b w:val="false"/>
          <w:bCs w:val="false"/>
        </w:rPr>
        <w:t xml:space="preserve">CREDAI's FY 2026-27 priorities — spanning sustainability, research, skill development, legal affairs, finance and technology — signal a broadening of the sector's policy advocacy agenda beyond its traditional RERA and affordable-housing asks.</w:t>
      </w:r>
    </w:p>
    <w:p>
      <w:pPr>
        <w:spacing w:after="150"/>
      </w:pPr>
      <w:r>
        <w:rPr>
          <w:i/>
          <w:iCs/>
          <w:color w:val="595959"/>
          <w:sz w:val="18"/>
          <w:szCs w:val="18"/>
        </w:rPr>
        <w:t xml:space="preserve">Sources: The Realty Today; Investment Guru India; PropNewsTime.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2026-08-08T03:40:21.401Z</dcterms:created>
  <dcterms:modified xsi:type="dcterms:W3CDTF">2026-08-08T03:40:21.416Z</dcterms:modified>
</cp:coreProperties>
</file>

<file path=docProps/custom.xml><?xml version="1.0" encoding="utf-8"?>
<Properties xmlns="http://schemas.openxmlformats.org/officeDocument/2006/custom-properties" xmlns:vt="http://schemas.openxmlformats.org/officeDocument/2006/docPropsVTypes"/>
</file>